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21" w:rsidRDefault="00156121" w:rsidP="000E773A">
      <w:pPr>
        <w:pStyle w:val="Title"/>
      </w:pPr>
      <w:r>
        <w:t>ANNUAL REPORT FOR THE DIVISION OF STUDENT AFFAIRS</w:t>
      </w:r>
    </w:p>
    <w:p w:rsidR="00156121" w:rsidRDefault="005B0DD8" w:rsidP="000E773A">
      <w:pPr>
        <w:jc w:val="center"/>
        <w:rPr>
          <w:b/>
          <w:bCs/>
        </w:rPr>
      </w:pPr>
      <w:r>
        <w:rPr>
          <w:b/>
          <w:bCs/>
        </w:rPr>
        <w:t>201</w:t>
      </w:r>
      <w:r w:rsidR="005E12C6">
        <w:rPr>
          <w:b/>
          <w:bCs/>
        </w:rPr>
        <w:t>5</w:t>
      </w:r>
      <w:r>
        <w:rPr>
          <w:b/>
          <w:bCs/>
        </w:rPr>
        <w:t>-1</w:t>
      </w:r>
      <w:r w:rsidR="005E12C6">
        <w:rPr>
          <w:b/>
          <w:bCs/>
        </w:rPr>
        <w:t>6</w:t>
      </w:r>
    </w:p>
    <w:p w:rsidR="00156121" w:rsidRDefault="00156121" w:rsidP="000E773A">
      <w:pPr>
        <w:jc w:val="center"/>
      </w:pPr>
    </w:p>
    <w:p w:rsidR="00156121" w:rsidRDefault="00156121" w:rsidP="000E773A">
      <w:pPr>
        <w:jc w:val="center"/>
      </w:pPr>
      <w:r>
        <w:t>____________________________________________________</w:t>
      </w:r>
    </w:p>
    <w:p w:rsidR="00156121" w:rsidRDefault="00156121" w:rsidP="000E773A">
      <w:pPr>
        <w:jc w:val="center"/>
      </w:pPr>
      <w:r>
        <w:t>Department/Unit</w:t>
      </w:r>
    </w:p>
    <w:p w:rsidR="00156121" w:rsidRDefault="00156121" w:rsidP="000E773A"/>
    <w:p w:rsidR="00156121" w:rsidRDefault="00156121" w:rsidP="000E773A">
      <w:pPr>
        <w:ind w:firstLine="360"/>
      </w:pPr>
      <w:r>
        <w:t>______________________</w:t>
      </w:r>
      <w:r>
        <w:tab/>
      </w:r>
      <w:r>
        <w:tab/>
      </w:r>
      <w:r>
        <w:tab/>
        <w:t>______________________________</w:t>
      </w:r>
    </w:p>
    <w:p w:rsidR="00156121" w:rsidRDefault="00156121" w:rsidP="000E773A">
      <w:pPr>
        <w:ind w:firstLine="360"/>
      </w:pPr>
      <w:r>
        <w:t>Period Covered</w:t>
      </w:r>
      <w:r>
        <w:tab/>
      </w:r>
      <w:r>
        <w:tab/>
      </w:r>
      <w:r>
        <w:tab/>
      </w:r>
      <w:r>
        <w:tab/>
      </w:r>
      <w:r>
        <w:tab/>
        <w:t>Date Submitted</w:t>
      </w:r>
    </w:p>
    <w:p w:rsidR="00156121" w:rsidRDefault="00156121" w:rsidP="000E773A"/>
    <w:p w:rsidR="00156121" w:rsidRDefault="00156121" w:rsidP="000E773A"/>
    <w:p w:rsidR="00537431" w:rsidRDefault="00156121" w:rsidP="000E773A">
      <w:pPr>
        <w:numPr>
          <w:ilvl w:val="0"/>
          <w:numId w:val="2"/>
        </w:numPr>
      </w:pPr>
      <w:r>
        <w:t xml:space="preserve">What are the department/unit achievements for the past year?  </w:t>
      </w:r>
      <w:r w:rsidR="00F773FD">
        <w:t>Identify where appropriate h</w:t>
      </w:r>
      <w:r>
        <w:t xml:space="preserve">ow these achievements support </w:t>
      </w:r>
      <w:r w:rsidR="00F773FD">
        <w:t>the</w:t>
      </w:r>
      <w:r>
        <w:t xml:space="preserve"> Division of Student Affairs</w:t>
      </w:r>
      <w:r w:rsidR="00F773FD">
        <w:t xml:space="preserve"> mission, goals and values</w:t>
      </w:r>
      <w:r w:rsidR="004F5C04">
        <w:t>.</w:t>
      </w:r>
      <w:r>
        <w:t xml:space="preserve">  </w:t>
      </w:r>
      <w:r w:rsidR="00537431">
        <w:t xml:space="preserve">In addition, please identify how your department contributed </w:t>
      </w:r>
      <w:r w:rsidR="00541449">
        <w:t xml:space="preserve">to </w:t>
      </w:r>
      <w:r w:rsidR="00537431">
        <w:t>the following nine “Elements of the Mission” that are focused on Student Success (</w:t>
      </w:r>
      <w:r w:rsidR="00541449">
        <w:t xml:space="preserve">related to the 2013-18 Campus Plan and </w:t>
      </w:r>
      <w:r w:rsidR="00537431">
        <w:t>request</w:t>
      </w:r>
      <w:r w:rsidR="00541449">
        <w:t>ed</w:t>
      </w:r>
      <w:r w:rsidR="00537431">
        <w:t xml:space="preserve"> </w:t>
      </w:r>
      <w:r w:rsidR="00541449">
        <w:t>by</w:t>
      </w:r>
      <w:r w:rsidR="00537431">
        <w:t xml:space="preserve"> the Provost)</w:t>
      </w:r>
      <w:r w:rsidR="00437560">
        <w:t>.  The “Elements of the Mission” are as follows:</w:t>
      </w:r>
    </w:p>
    <w:p w:rsidR="00537431" w:rsidRPr="00451AAA" w:rsidRDefault="00537431" w:rsidP="004F5C04">
      <w:pPr>
        <w:numPr>
          <w:ilvl w:val="1"/>
          <w:numId w:val="14"/>
        </w:numPr>
      </w:pPr>
      <w:r w:rsidRPr="00451AAA">
        <w:t>A relevant quality degree that prepares them for their chosen career</w:t>
      </w:r>
    </w:p>
    <w:p w:rsidR="00537431" w:rsidRPr="00451AAA" w:rsidRDefault="00537431" w:rsidP="004F5C04">
      <w:pPr>
        <w:numPr>
          <w:ilvl w:val="1"/>
          <w:numId w:val="14"/>
        </w:numPr>
      </w:pPr>
      <w:r w:rsidRPr="00451AAA">
        <w:t>Core skills in reasoning, communication, problem-solving, ethics, teamwork</w:t>
      </w:r>
    </w:p>
    <w:p w:rsidR="00537431" w:rsidRPr="00451AAA" w:rsidRDefault="00FE0A7F" w:rsidP="004F5C04">
      <w:pPr>
        <w:numPr>
          <w:ilvl w:val="1"/>
          <w:numId w:val="14"/>
        </w:numPr>
      </w:pPr>
      <w:r>
        <w:t>C</w:t>
      </w:r>
      <w:r w:rsidR="00537431" w:rsidRPr="00451AAA">
        <w:t>ore knowledge that is expected of any educated citizen, living in a globally connected world</w:t>
      </w:r>
    </w:p>
    <w:p w:rsidR="00537431" w:rsidRPr="00451AAA" w:rsidRDefault="00537431" w:rsidP="004F5C04">
      <w:pPr>
        <w:numPr>
          <w:ilvl w:val="1"/>
          <w:numId w:val="14"/>
        </w:numPr>
      </w:pPr>
      <w:r w:rsidRPr="00451AAA">
        <w:t>Experiential learning opportunities relevant to careers</w:t>
      </w:r>
      <w:r w:rsidR="007A49EB">
        <w:t xml:space="preserve"> (See Table 1 on pages 13 and 14 for definitions of applied learning opportunities)</w:t>
      </w:r>
    </w:p>
    <w:p w:rsidR="00537431" w:rsidRPr="00451AAA" w:rsidRDefault="00537431" w:rsidP="004F5C04">
      <w:pPr>
        <w:numPr>
          <w:ilvl w:val="1"/>
          <w:numId w:val="14"/>
        </w:numPr>
      </w:pPr>
      <w:r w:rsidRPr="00451AAA">
        <w:t>Well-supported on campus, and provided a safe, diverse, and welcoming environment</w:t>
      </w:r>
    </w:p>
    <w:p w:rsidR="00537431" w:rsidRPr="00451AAA" w:rsidRDefault="00537431" w:rsidP="004F5C04">
      <w:pPr>
        <w:numPr>
          <w:ilvl w:val="1"/>
          <w:numId w:val="14"/>
        </w:numPr>
      </w:pPr>
      <w:r w:rsidRPr="00451AAA">
        <w:t>Assistance with any learning needs, advising and mentoring</w:t>
      </w:r>
    </w:p>
    <w:p w:rsidR="00537431" w:rsidRPr="00451AAA" w:rsidRDefault="00537431" w:rsidP="004F5C04">
      <w:pPr>
        <w:numPr>
          <w:ilvl w:val="1"/>
          <w:numId w:val="14"/>
        </w:numPr>
      </w:pPr>
      <w:r w:rsidRPr="00451AAA">
        <w:t>Opportunities for social, artistic, cultural, and political engagement</w:t>
      </w:r>
    </w:p>
    <w:p w:rsidR="00537431" w:rsidRDefault="00FE0A7F" w:rsidP="004F5C04">
      <w:pPr>
        <w:numPr>
          <w:ilvl w:val="1"/>
          <w:numId w:val="14"/>
        </w:numPr>
      </w:pPr>
      <w:r>
        <w:t xml:space="preserve">Guidance with </w:t>
      </w:r>
      <w:r w:rsidR="00537431" w:rsidRPr="00451AAA">
        <w:t>career development</w:t>
      </w:r>
    </w:p>
    <w:p w:rsidR="00537431" w:rsidRPr="00451AAA" w:rsidRDefault="00537431" w:rsidP="004F5C04">
      <w:pPr>
        <w:numPr>
          <w:ilvl w:val="1"/>
          <w:numId w:val="14"/>
        </w:numPr>
      </w:pPr>
      <w:r>
        <w:t>Enhance</w:t>
      </w:r>
      <w:r w:rsidR="004F5C04">
        <w:t>ment</w:t>
      </w:r>
      <w:bookmarkStart w:id="0" w:name="_GoBack"/>
      <w:bookmarkEnd w:id="0"/>
      <w:r>
        <w:t xml:space="preserve"> </w:t>
      </w:r>
      <w:r w:rsidR="00FE0A7F">
        <w:t xml:space="preserve">of </w:t>
      </w:r>
      <w:r>
        <w:t xml:space="preserve">overall well-being, </w:t>
      </w:r>
      <w:r w:rsidR="00FE0A7F">
        <w:t>as a foundation for a meaningful life</w:t>
      </w:r>
      <w:r>
        <w:t>.</w:t>
      </w:r>
    </w:p>
    <w:p w:rsidR="00537431" w:rsidRDefault="00537431" w:rsidP="00537431">
      <w:pPr>
        <w:ind w:left="720"/>
      </w:pPr>
    </w:p>
    <w:p w:rsidR="00156121" w:rsidRDefault="00156121" w:rsidP="00537431">
      <w:pPr>
        <w:ind w:left="720"/>
      </w:pPr>
      <w:r>
        <w:t>If you wish to add any other information about your department’s activities and/or accomplishments from this year, please do so.</w:t>
      </w:r>
    </w:p>
    <w:p w:rsidR="00156121" w:rsidRDefault="00156121" w:rsidP="000E773A"/>
    <w:p w:rsidR="00156121" w:rsidRDefault="00156121" w:rsidP="000E773A">
      <w:pPr>
        <w:numPr>
          <w:ilvl w:val="0"/>
          <w:numId w:val="2"/>
        </w:numPr>
      </w:pPr>
      <w:r>
        <w:t>Complete and include those attachments relevant to your department/unit for the academic year that has just ended.</w:t>
      </w:r>
    </w:p>
    <w:p w:rsidR="00156121" w:rsidRDefault="00156121" w:rsidP="000E773A"/>
    <w:p w:rsidR="00156121" w:rsidRDefault="00156121" w:rsidP="000E773A">
      <w:pPr>
        <w:numPr>
          <w:ilvl w:val="0"/>
          <w:numId w:val="5"/>
        </w:numPr>
      </w:pPr>
      <w:r>
        <w:t>Extraordinary Student Activities</w:t>
      </w:r>
    </w:p>
    <w:p w:rsidR="00AC5A4A" w:rsidRDefault="00CE66BC" w:rsidP="000E773A">
      <w:pPr>
        <w:numPr>
          <w:ilvl w:val="0"/>
          <w:numId w:val="5"/>
        </w:numPr>
      </w:pPr>
      <w:r>
        <w:t>201</w:t>
      </w:r>
      <w:r w:rsidR="00B83EAC">
        <w:t>5</w:t>
      </w:r>
      <w:r>
        <w:t>-1</w:t>
      </w:r>
      <w:r w:rsidR="00B83EAC">
        <w:t>6</w:t>
      </w:r>
      <w:r>
        <w:t xml:space="preserve"> Department Assessment Plan – update chart with </w:t>
      </w:r>
      <w:r w:rsidR="00894D08">
        <w:t>all columns completely filled out</w:t>
      </w:r>
      <w:r w:rsidR="00995266">
        <w:t xml:space="preserve"> for projects that you made progress on and/or were completed</w:t>
      </w:r>
      <w:r w:rsidR="0038356A">
        <w:t>.</w:t>
      </w:r>
    </w:p>
    <w:p w:rsidR="00156121" w:rsidRDefault="00156121" w:rsidP="000E773A">
      <w:pPr>
        <w:numPr>
          <w:ilvl w:val="0"/>
          <w:numId w:val="5"/>
        </w:numPr>
      </w:pPr>
      <w:r>
        <w:t>Assessment Re</w:t>
      </w:r>
      <w:r w:rsidR="004D7BD2">
        <w:t>port for completed assessment projects – see attached format for report</w:t>
      </w:r>
      <w:r w:rsidR="00AC5A4A">
        <w:t xml:space="preserve">.  These reports are only for the developed assessment activities </w:t>
      </w:r>
      <w:r w:rsidR="00AA10C3">
        <w:t>su</w:t>
      </w:r>
      <w:r w:rsidR="00F03A46">
        <w:t>bmitted last year on the 201</w:t>
      </w:r>
      <w:r w:rsidR="00B83EAC">
        <w:t>5</w:t>
      </w:r>
      <w:r w:rsidR="00F03A46">
        <w:t>-1</w:t>
      </w:r>
      <w:r w:rsidR="00B83EAC">
        <w:t>6</w:t>
      </w:r>
      <w:r w:rsidR="00AA10C3">
        <w:t xml:space="preserve"> Assessment Plan</w:t>
      </w:r>
      <w:r w:rsidR="00AC5A4A">
        <w:t>.</w:t>
      </w:r>
    </w:p>
    <w:p w:rsidR="00156121" w:rsidRDefault="00156121" w:rsidP="000E773A"/>
    <w:p w:rsidR="00156121" w:rsidRDefault="00156121" w:rsidP="000E773A">
      <w:pPr>
        <w:numPr>
          <w:ilvl w:val="0"/>
          <w:numId w:val="2"/>
        </w:numPr>
      </w:pPr>
      <w:r>
        <w:t xml:space="preserve">For the purposes of assessment, </w:t>
      </w:r>
      <w:r w:rsidR="004D7BD2">
        <w:t>either update or complete a new assessment plan on the attached form for the coming academic year</w:t>
      </w:r>
      <w:r w:rsidR="00BF411F">
        <w:t xml:space="preserve"> (201</w:t>
      </w:r>
      <w:r w:rsidR="00B83EAC">
        <w:t>6</w:t>
      </w:r>
      <w:r w:rsidR="00BF411F">
        <w:t>-1</w:t>
      </w:r>
      <w:r w:rsidR="00B83EAC">
        <w:t>7</w:t>
      </w:r>
      <w:r w:rsidR="00BF411F">
        <w:t>)</w:t>
      </w:r>
      <w:r w:rsidR="004D7BD2">
        <w:t>.  Please identify your department</w:t>
      </w:r>
      <w:r w:rsidR="005008D5">
        <w:t>’</w:t>
      </w:r>
      <w:r w:rsidR="004D7BD2">
        <w:t xml:space="preserve">s goals, description of objectives, effectiveness indicators and success criteria for any assessment projects you propose.  </w:t>
      </w:r>
      <w:r w:rsidR="00BF411F">
        <w:t xml:space="preserve">These can be the same assessment activities </w:t>
      </w:r>
      <w:r w:rsidR="00BF411F">
        <w:lastRenderedPageBreak/>
        <w:t>fr</w:t>
      </w:r>
      <w:r w:rsidR="005008D5">
        <w:t>om</w:t>
      </w:r>
      <w:r w:rsidR="00BF411F">
        <w:t xml:space="preserve"> this year if your plan is to just repeat what you just completed.  Feel free to add additional assessment activities if your department plans to expand the scope of your assessment efforts. </w:t>
      </w:r>
    </w:p>
    <w:p w:rsidR="00BF411F" w:rsidRDefault="00BF411F" w:rsidP="000E773A"/>
    <w:p w:rsidR="00BF411F" w:rsidRDefault="00BF411F" w:rsidP="000E773A">
      <w:pPr>
        <w:ind w:left="720"/>
      </w:pPr>
      <w:r>
        <w:t>Please keep in mind as the Division moves forward with its assessment activities, the overall goal is to work towards more student learning outcome assessment activities and the use of direct measurements in how we conduct our assessments.</w:t>
      </w:r>
    </w:p>
    <w:p w:rsidR="00451AAA" w:rsidRDefault="00451AAA" w:rsidP="000E773A">
      <w:pPr>
        <w:ind w:left="720"/>
      </w:pPr>
    </w:p>
    <w:p w:rsidR="00451AAA" w:rsidRDefault="00451AAA" w:rsidP="000E773A">
      <w:pPr>
        <w:ind w:left="720"/>
      </w:pPr>
      <w:r>
        <w:t xml:space="preserve">In addition, the Provost is asking Student Affairs departments to be able to contribute data to demonstrate how our efforts are advancing the following nine “Elements of the Mission” that are focused on Student Success.  Please keep these in mind as you develop future assessment activities.  </w:t>
      </w:r>
      <w:r w:rsidR="00437560">
        <w:t>The “Elements of the Mission</w:t>
      </w:r>
      <w:r w:rsidR="00C32A63">
        <w:t>”</w:t>
      </w:r>
      <w:r w:rsidR="00437560">
        <w:t xml:space="preserve"> are:</w:t>
      </w:r>
    </w:p>
    <w:p w:rsidR="00FE0A7F" w:rsidRPr="00451AAA" w:rsidRDefault="00FE0A7F" w:rsidP="00FE0A7F">
      <w:pPr>
        <w:numPr>
          <w:ilvl w:val="0"/>
          <w:numId w:val="13"/>
        </w:numPr>
      </w:pPr>
      <w:r w:rsidRPr="00451AAA">
        <w:t>A relevant quality degree that prepares them for their chosen career</w:t>
      </w:r>
    </w:p>
    <w:p w:rsidR="00FE0A7F" w:rsidRPr="00451AAA" w:rsidRDefault="00FE0A7F" w:rsidP="00FE0A7F">
      <w:pPr>
        <w:numPr>
          <w:ilvl w:val="0"/>
          <w:numId w:val="13"/>
        </w:numPr>
      </w:pPr>
      <w:r w:rsidRPr="00451AAA">
        <w:t>Core skills in reasoning, communication, problem-solving, ethics, teamwork</w:t>
      </w:r>
    </w:p>
    <w:p w:rsidR="00FE0A7F" w:rsidRPr="00451AAA" w:rsidRDefault="00FE0A7F" w:rsidP="00FE0A7F">
      <w:pPr>
        <w:numPr>
          <w:ilvl w:val="0"/>
          <w:numId w:val="13"/>
        </w:numPr>
      </w:pPr>
      <w:r>
        <w:t>C</w:t>
      </w:r>
      <w:r w:rsidRPr="00451AAA">
        <w:t>ore knowledge that is expected of any educated citizen, living in a globally connected world</w:t>
      </w:r>
    </w:p>
    <w:p w:rsidR="00FE0A7F" w:rsidRPr="00451AAA" w:rsidRDefault="007A49EB" w:rsidP="00FE0A7F">
      <w:pPr>
        <w:numPr>
          <w:ilvl w:val="0"/>
          <w:numId w:val="13"/>
        </w:numPr>
      </w:pPr>
      <w:r w:rsidRPr="00451AAA">
        <w:t>Experiential learning opportunities relevant to careers</w:t>
      </w:r>
      <w:r>
        <w:t xml:space="preserve"> (See Table 1 on pages 13 and 14 for definitions of applied learning opportunities)</w:t>
      </w:r>
    </w:p>
    <w:p w:rsidR="00FE0A7F" w:rsidRPr="00451AAA" w:rsidRDefault="00FE0A7F" w:rsidP="00FE0A7F">
      <w:pPr>
        <w:numPr>
          <w:ilvl w:val="0"/>
          <w:numId w:val="13"/>
        </w:numPr>
      </w:pPr>
      <w:r w:rsidRPr="00451AAA">
        <w:t>Well-supported on campus, and provided a safe, diverse, and welcoming environment</w:t>
      </w:r>
    </w:p>
    <w:p w:rsidR="00FE0A7F" w:rsidRPr="00451AAA" w:rsidRDefault="00FE0A7F" w:rsidP="00FE0A7F">
      <w:pPr>
        <w:numPr>
          <w:ilvl w:val="0"/>
          <w:numId w:val="13"/>
        </w:numPr>
      </w:pPr>
      <w:r w:rsidRPr="00451AAA">
        <w:t>Assistance with any learning needs, advising and mentoring</w:t>
      </w:r>
    </w:p>
    <w:p w:rsidR="00FE0A7F" w:rsidRPr="00451AAA" w:rsidRDefault="00FE0A7F" w:rsidP="00FE0A7F">
      <w:pPr>
        <w:numPr>
          <w:ilvl w:val="0"/>
          <w:numId w:val="13"/>
        </w:numPr>
      </w:pPr>
      <w:r w:rsidRPr="00451AAA">
        <w:t>Opportunities for social, artistic, cultural, and political engagement</w:t>
      </w:r>
    </w:p>
    <w:p w:rsidR="00FE0A7F" w:rsidRDefault="00FE0A7F" w:rsidP="00FE0A7F">
      <w:pPr>
        <w:numPr>
          <w:ilvl w:val="0"/>
          <w:numId w:val="13"/>
        </w:numPr>
      </w:pPr>
      <w:r>
        <w:t xml:space="preserve">Guidance with </w:t>
      </w:r>
      <w:r w:rsidRPr="00451AAA">
        <w:t>career development</w:t>
      </w:r>
    </w:p>
    <w:p w:rsidR="00FE0A7F" w:rsidRPr="00451AAA" w:rsidRDefault="00FE0A7F" w:rsidP="00FE0A7F">
      <w:pPr>
        <w:numPr>
          <w:ilvl w:val="0"/>
          <w:numId w:val="13"/>
        </w:numPr>
      </w:pPr>
      <w:r>
        <w:t>Enhance of overall well-being, as a foundation for a meaningful life.</w:t>
      </w:r>
    </w:p>
    <w:p w:rsidR="00451AAA" w:rsidRDefault="00451AAA" w:rsidP="000E773A">
      <w:pPr>
        <w:ind w:left="720"/>
      </w:pPr>
    </w:p>
    <w:p w:rsidR="00156121" w:rsidRDefault="00F773FD" w:rsidP="000E773A">
      <w:pPr>
        <w:numPr>
          <w:ilvl w:val="0"/>
          <w:numId w:val="2"/>
        </w:numPr>
      </w:pPr>
      <w:r>
        <w:t>W</w:t>
      </w:r>
      <w:r w:rsidR="00156121">
        <w:t xml:space="preserve">hat </w:t>
      </w:r>
      <w:r w:rsidR="00451AAA">
        <w:t xml:space="preserve">new </w:t>
      </w:r>
      <w:r w:rsidR="00156121">
        <w:t>plans does your department hope to execute in the upcoming year(s) that will help you to achieve your departmental mission?  You might include new programs, improvements to programs or services, changes in administrative structure, elimination or changes to existing programs, etc.</w:t>
      </w:r>
      <w:r w:rsidR="00963EDD">
        <w:t xml:space="preserve">  </w:t>
      </w:r>
      <w:r w:rsidR="00451AAA">
        <w:t xml:space="preserve">With the ever increased demands on limited resources, </w:t>
      </w:r>
      <w:r w:rsidR="00963EDD">
        <w:t>please know that the elimination of existing services with proper justification may be appropriate.</w:t>
      </w:r>
    </w:p>
    <w:p w:rsidR="00C32A63" w:rsidRDefault="00C32A63" w:rsidP="00C32A63">
      <w:pPr>
        <w:ind w:left="720"/>
      </w:pPr>
    </w:p>
    <w:p w:rsidR="00C32A63" w:rsidRDefault="00C32A63" w:rsidP="00C32A63">
      <w:pPr>
        <w:ind w:left="720"/>
      </w:pPr>
      <w:r>
        <w:t>For any new plans, please identify if they will contribute to the “Elements of the Mission</w:t>
      </w:r>
      <w:r w:rsidR="00B83EAC">
        <w:t>.</w:t>
      </w:r>
      <w:r>
        <w:t>”</w:t>
      </w:r>
    </w:p>
    <w:p w:rsidR="00156121" w:rsidRDefault="00156121" w:rsidP="000E773A"/>
    <w:p w:rsidR="006C55D3" w:rsidRDefault="006C55D3" w:rsidP="000E773A">
      <w:pPr>
        <w:numPr>
          <w:ilvl w:val="0"/>
          <w:numId w:val="2"/>
        </w:numPr>
      </w:pPr>
      <w:r>
        <w:t>Please complete the Assessment Effectiveness tool on page 12 and submit with the Annual Report.  This is something new that all units throughout Academi</w:t>
      </w:r>
      <w:r w:rsidR="00D376FD">
        <w:t>c Affairs and Student Affairs are</w:t>
      </w:r>
      <w:r>
        <w:t xml:space="preserve"> completing.  </w:t>
      </w:r>
    </w:p>
    <w:p w:rsidR="006C55D3" w:rsidRDefault="006C55D3" w:rsidP="006C55D3">
      <w:pPr>
        <w:ind w:left="720"/>
      </w:pPr>
    </w:p>
    <w:p w:rsidR="00156121" w:rsidRDefault="00156121" w:rsidP="000E773A">
      <w:pPr>
        <w:numPr>
          <w:ilvl w:val="0"/>
          <w:numId w:val="2"/>
        </w:numPr>
      </w:pPr>
      <w:r>
        <w:t>Attach or forward at a later date the individual activity reports for department/unit members</w:t>
      </w:r>
      <w:r w:rsidR="008C17BE">
        <w:t xml:space="preserve"> to </w:t>
      </w:r>
      <w:r w:rsidR="00B83EAC">
        <w:t>Terry Lacey</w:t>
      </w:r>
      <w:r w:rsidR="008C17BE">
        <w:t xml:space="preserve"> at </w:t>
      </w:r>
      <w:r w:rsidR="00B83EAC">
        <w:t>laceytl</w:t>
      </w:r>
      <w:r w:rsidR="008C17BE" w:rsidRPr="008C17BE">
        <w:t>@plattsburgh.edu</w:t>
      </w:r>
      <w:r>
        <w:t>.</w:t>
      </w:r>
    </w:p>
    <w:p w:rsidR="00AA10C3" w:rsidRDefault="00AA10C3" w:rsidP="000E773A"/>
    <w:p w:rsidR="00ED58FB" w:rsidRDefault="00AA10C3" w:rsidP="000E773A">
      <w:pPr>
        <w:rPr>
          <w:b/>
          <w:u w:val="single"/>
        </w:rPr>
      </w:pPr>
      <w:r>
        <w:t>The 201</w:t>
      </w:r>
      <w:r w:rsidR="00B83EAC">
        <w:t>5</w:t>
      </w:r>
      <w:r w:rsidR="00F773FD">
        <w:t>-1</w:t>
      </w:r>
      <w:r w:rsidR="00B83EAC">
        <w:t>6</w:t>
      </w:r>
      <w:r>
        <w:t xml:space="preserve"> Annual Report is due to the Division of Student Affairs Office </w:t>
      </w:r>
      <w:r w:rsidR="00B83EAC">
        <w:t>on Fri</w:t>
      </w:r>
      <w:r w:rsidR="00E74AE4">
        <w:t>day, June 1</w:t>
      </w:r>
      <w:r w:rsidR="00B83EAC">
        <w:t>0</w:t>
      </w:r>
      <w:r w:rsidR="00451AAA">
        <w:t>, 201</w:t>
      </w:r>
      <w:r w:rsidR="00B83EAC">
        <w:t>6</w:t>
      </w:r>
      <w:r w:rsidR="00E74AE4">
        <w:t>.</w:t>
      </w:r>
      <w:r w:rsidR="008C17BE">
        <w:t xml:space="preserve">  Please email the report directly to Bryan Hartman at hartmabg@plattsburgh.edu.</w:t>
      </w:r>
      <w:r w:rsidR="00D16E7A">
        <w:br w:type="page"/>
      </w:r>
      <w:r w:rsidR="00ED58FB" w:rsidRPr="00AA2F1C">
        <w:rPr>
          <w:b/>
          <w:u w:val="single"/>
        </w:rPr>
        <w:lastRenderedPageBreak/>
        <w:t>Format fo</w:t>
      </w:r>
      <w:r w:rsidR="00352CF5">
        <w:rPr>
          <w:b/>
          <w:u w:val="single"/>
        </w:rPr>
        <w:t>r Completed Assessment Activity</w:t>
      </w:r>
      <w:r w:rsidR="00ED58FB">
        <w:rPr>
          <w:b/>
          <w:u w:val="single"/>
        </w:rPr>
        <w:t xml:space="preserve"> Report</w:t>
      </w:r>
      <w:r w:rsidR="00352CF5">
        <w:rPr>
          <w:b/>
          <w:u w:val="single"/>
        </w:rPr>
        <w:t xml:space="preserve"> (For Question 2)</w:t>
      </w:r>
    </w:p>
    <w:p w:rsidR="00ED58FB" w:rsidRPr="00ED58FB" w:rsidRDefault="00ED58FB" w:rsidP="00ED58FB"/>
    <w:p w:rsidR="00ED58FB" w:rsidRDefault="00B73482" w:rsidP="00ED58FB">
      <w:pPr>
        <w:pStyle w:val="ListParagraph"/>
        <w:numPr>
          <w:ilvl w:val="0"/>
          <w:numId w:val="4"/>
        </w:numPr>
      </w:pPr>
      <w:r>
        <w:t>Include</w:t>
      </w:r>
      <w:r w:rsidR="00ED58FB">
        <w:t xml:space="preserve"> completed assessment plan template –</w:t>
      </w:r>
    </w:p>
    <w:p w:rsidR="00ED58FB" w:rsidRDefault="00ED58FB" w:rsidP="00ED58FB">
      <w:pPr>
        <w:pStyle w:val="ListParagraph"/>
      </w:pPr>
    </w:p>
    <w:p w:rsidR="00ED58FB" w:rsidRDefault="00ED58FB" w:rsidP="00ED58FB">
      <w:pPr>
        <w:pStyle w:val="ListParagraph"/>
        <w:numPr>
          <w:ilvl w:val="0"/>
          <w:numId w:val="4"/>
        </w:numPr>
      </w:pPr>
      <w:r>
        <w:t xml:space="preserve">Provide 2-4 page narrative – </w:t>
      </w:r>
    </w:p>
    <w:p w:rsidR="00ED58FB" w:rsidRDefault="00ED58FB" w:rsidP="00ED58FB">
      <w:pPr>
        <w:pStyle w:val="ListParagraph"/>
      </w:pPr>
    </w:p>
    <w:p w:rsidR="00ED58FB" w:rsidRDefault="00ED58FB" w:rsidP="00ED58FB">
      <w:pPr>
        <w:pStyle w:val="ListParagraph"/>
        <w:numPr>
          <w:ilvl w:val="1"/>
          <w:numId w:val="4"/>
        </w:numPr>
      </w:pPr>
      <w:r w:rsidRPr="00A00EC1">
        <w:rPr>
          <w:b/>
          <w:i/>
        </w:rPr>
        <w:t xml:space="preserve">First section explains the assessment activity in context </w:t>
      </w:r>
      <w:r w:rsidR="005925C7" w:rsidRPr="005925C7">
        <w:rPr>
          <w:i/>
        </w:rPr>
        <w:t xml:space="preserve">(i.e., </w:t>
      </w:r>
      <w:proofErr w:type="gramStart"/>
      <w:r w:rsidRPr="005925C7">
        <w:rPr>
          <w:i/>
        </w:rPr>
        <w:t>its</w:t>
      </w:r>
      <w:proofErr w:type="gramEnd"/>
      <w:r w:rsidRPr="005925C7">
        <w:rPr>
          <w:i/>
        </w:rPr>
        <w:t xml:space="preserve"> strategic linkage to the department and the institution, and explains</w:t>
      </w:r>
      <w:r w:rsidRPr="005925C7">
        <w:t xml:space="preserve"> -</w:t>
      </w:r>
      <w:r>
        <w:t xml:space="preserve"> what the assessment goal was, the assessment objective and how this is tied strategically to the College</w:t>
      </w:r>
      <w:r w:rsidR="005925C7">
        <w:t>)</w:t>
      </w:r>
      <w:r>
        <w:t xml:space="preserve">. This section can also include the type of assessment activity – is it a need assessment, program assessment, student learning outcome assessment or a blend of these types. </w:t>
      </w:r>
    </w:p>
    <w:p w:rsidR="00ED58FB" w:rsidRDefault="00ED58FB" w:rsidP="00ED58FB">
      <w:pPr>
        <w:pStyle w:val="ListParagraph"/>
        <w:ind w:left="1440"/>
      </w:pPr>
    </w:p>
    <w:p w:rsidR="00ED58FB" w:rsidRDefault="00ED58FB" w:rsidP="00ED58FB">
      <w:pPr>
        <w:pStyle w:val="ListParagraph"/>
        <w:numPr>
          <w:ilvl w:val="1"/>
          <w:numId w:val="4"/>
        </w:numPr>
      </w:pPr>
      <w:r w:rsidRPr="00A00EC1">
        <w:rPr>
          <w:b/>
          <w:i/>
        </w:rPr>
        <w:t>Second section</w:t>
      </w:r>
      <w:r w:rsidRPr="00A00EC1">
        <w:rPr>
          <w:b/>
        </w:rPr>
        <w:t xml:space="preserve"> </w:t>
      </w:r>
      <w:r w:rsidRPr="00A00EC1">
        <w:rPr>
          <w:b/>
          <w:i/>
        </w:rPr>
        <w:t>describes the assessment activity materials</w:t>
      </w:r>
      <w:r w:rsidRPr="00A00EC1">
        <w:rPr>
          <w:b/>
        </w:rPr>
        <w:t xml:space="preserve"> </w:t>
      </w:r>
      <w:r>
        <w:t xml:space="preserve">- how the data was collected in the assessment activity and would include an explanation of the effectiveness indicator and the success criteria identified (instrumentation included in the appendix of the report). </w:t>
      </w:r>
    </w:p>
    <w:p w:rsidR="00ED58FB" w:rsidRPr="00545CB9" w:rsidRDefault="00ED58FB" w:rsidP="00ED58FB">
      <w:pPr>
        <w:pStyle w:val="ListParagraph"/>
        <w:rPr>
          <w:u w:val="single"/>
        </w:rPr>
      </w:pPr>
    </w:p>
    <w:p w:rsidR="00ED58FB" w:rsidRDefault="00ED58FB" w:rsidP="00ED58FB">
      <w:pPr>
        <w:pStyle w:val="ListParagraph"/>
        <w:ind w:left="1440"/>
      </w:pPr>
      <w:r w:rsidRPr="00545CB9">
        <w:rPr>
          <w:u w:val="single"/>
        </w:rPr>
        <w:t>Use of Direct/Indirect Measures:</w:t>
      </w:r>
      <w:r>
        <w:t xml:space="preserve"> This section would also identify if the activity demonstrates use of direct or indirect measures. </w:t>
      </w:r>
      <w:r w:rsidRPr="00714450">
        <w:rPr>
          <w:b/>
        </w:rPr>
        <w:t>Note:</w:t>
      </w:r>
      <w:r>
        <w:t xml:space="preserve"> it is the choice of the assessor, but whenever possible, direct measures are preferred for assessment activities, especially in student learning outcomes assessment programs.</w:t>
      </w:r>
    </w:p>
    <w:p w:rsidR="00ED58FB" w:rsidRDefault="00ED58FB" w:rsidP="00ED58FB">
      <w:pPr>
        <w:pStyle w:val="ListParagraph"/>
      </w:pPr>
    </w:p>
    <w:p w:rsidR="00ED58FB" w:rsidRDefault="00ED58FB" w:rsidP="00ED58FB">
      <w:pPr>
        <w:pStyle w:val="ListParagraph"/>
        <w:numPr>
          <w:ilvl w:val="1"/>
          <w:numId w:val="4"/>
        </w:numPr>
      </w:pPr>
      <w:r w:rsidRPr="00A00EC1">
        <w:rPr>
          <w:b/>
          <w:i/>
        </w:rPr>
        <w:t>Third section describes the results obtained from the analysis of the data</w:t>
      </w:r>
      <w:r>
        <w:t xml:space="preserve"> – This section includes how the data was analyzed (i.e., raw survey data results, comparison to previous data sets collected, a rubric for rating responses was developed, constant comparative method, narrative analysis). The importance of explaining how the data was analyzed is that it authenticates the claims you will make in the findings in this section.</w:t>
      </w:r>
    </w:p>
    <w:p w:rsidR="00ED58FB" w:rsidRDefault="00ED58FB" w:rsidP="00ED58FB">
      <w:pPr>
        <w:pStyle w:val="ListParagraph"/>
        <w:ind w:left="1440"/>
      </w:pPr>
    </w:p>
    <w:p w:rsidR="00ED58FB" w:rsidRDefault="00ED58FB" w:rsidP="00ED58FB">
      <w:pPr>
        <w:pStyle w:val="ListParagraph"/>
        <w:ind w:left="1440"/>
      </w:pPr>
      <w:r>
        <w:t xml:space="preserve">It includes data sets from the analysis relevant to the objective established for this activity. It can include other data sets that are important to the assessor, though additional elaboration is needed in those instances. </w:t>
      </w:r>
      <w:r w:rsidRPr="00FE14AF">
        <w:rPr>
          <w:b/>
        </w:rPr>
        <w:t>Note:</w:t>
      </w:r>
      <w:r>
        <w:t xml:space="preserve"> it is not uncommon to have completed the analysis of the data and find you have more relevant results to share tha</w:t>
      </w:r>
      <w:r w:rsidR="00FE14AF">
        <w:t>n</w:t>
      </w:r>
      <w:r>
        <w:t xml:space="preserve"> what perhaps you should include in this particular report. It is critical to the reviewer that they can quickly determine if you achieved the success criteria identified for this assessment activity and thus, this is ideally the first finding to share in this section.</w:t>
      </w:r>
    </w:p>
    <w:p w:rsidR="00ED58FB" w:rsidRDefault="00ED58FB" w:rsidP="00ED58FB">
      <w:pPr>
        <w:pStyle w:val="ListParagraph"/>
        <w:ind w:left="1440"/>
      </w:pPr>
    </w:p>
    <w:p w:rsidR="00ED58FB" w:rsidRDefault="00ED58FB" w:rsidP="00ED58FB">
      <w:pPr>
        <w:pStyle w:val="ListParagraph"/>
        <w:numPr>
          <w:ilvl w:val="1"/>
          <w:numId w:val="4"/>
        </w:numPr>
      </w:pPr>
      <w:r w:rsidRPr="003230E4">
        <w:rPr>
          <w:b/>
          <w:i/>
        </w:rPr>
        <w:t>The final section of the report discusse</w:t>
      </w:r>
      <w:r w:rsidR="00D82123">
        <w:rPr>
          <w:b/>
          <w:i/>
        </w:rPr>
        <w:t>s</w:t>
      </w:r>
      <w:r w:rsidRPr="003230E4">
        <w:rPr>
          <w:b/>
          <w:i/>
        </w:rPr>
        <w:t xml:space="preserve"> how the department has utilized the results in changing/improving a program, services, resource or maintaining standards, program, service and/or resource</w:t>
      </w:r>
      <w:r>
        <w:t xml:space="preserve"> – Based upon the findings in the results section respective to the success criteria and perhaps other findings discussed, this section describes (a) when </w:t>
      </w:r>
      <w:r>
        <w:lastRenderedPageBreak/>
        <w:t xml:space="preserve">the success criteria is achieved whether the program will remain as described in the assessment activity or (b) if the success criteria was not achieved,  another strategy </w:t>
      </w:r>
      <w:r w:rsidR="00D82123">
        <w:t xml:space="preserve">will be or </w:t>
      </w:r>
      <w:r>
        <w:t xml:space="preserve">was implemented (inferring an attempt at program improvement) and the activity </w:t>
      </w:r>
      <w:r w:rsidR="00D82123">
        <w:t xml:space="preserve">will be or </w:t>
      </w:r>
      <w:r>
        <w:t xml:space="preserve">was assessed a second time to determine if the strategy led to reaching the success criteria or not. </w:t>
      </w:r>
    </w:p>
    <w:p w:rsidR="00ED58FB" w:rsidRDefault="00ED58FB" w:rsidP="00ED58FB">
      <w:pPr>
        <w:pStyle w:val="ListParagraph"/>
        <w:ind w:left="1440"/>
        <w:rPr>
          <w:b/>
          <w:i/>
        </w:rPr>
      </w:pPr>
    </w:p>
    <w:p w:rsidR="00ED58FB" w:rsidRDefault="00ED58FB" w:rsidP="00ED58FB">
      <w:pPr>
        <w:pStyle w:val="ListParagraph"/>
        <w:ind w:left="1440"/>
      </w:pPr>
      <w:r>
        <w:t>If the success criterion was met in the second assessment, note it here. If it was not met, discuss what next steps might occur, including if no further action. When noting no further action when a success criterion is not achieved, it is important to note why. Often it is related to resource allocation issues, but there are also other possibilities.  Either outcome described demonstrates “closing the loop” or specifically, using assessment data to drive program assessment, need assessment or student learning outcomes</w:t>
      </w:r>
      <w:r w:rsidR="00D82123">
        <w:t>.</w:t>
      </w:r>
    </w:p>
    <w:p w:rsidR="00ED58FB" w:rsidRDefault="00ED58FB" w:rsidP="00ED58FB">
      <w:pPr>
        <w:pStyle w:val="ListParagraph"/>
        <w:ind w:left="1440"/>
      </w:pPr>
    </w:p>
    <w:p w:rsidR="00ED58FB" w:rsidRDefault="00ED58FB" w:rsidP="00ED58FB">
      <w:pPr>
        <w:pStyle w:val="ListParagraph"/>
        <w:numPr>
          <w:ilvl w:val="0"/>
          <w:numId w:val="4"/>
        </w:numPr>
      </w:pPr>
      <w:r>
        <w:t>Appendix is added at the end of the report and is not included in the initial recommendation of the length of the narrative. It can include: data collection instrument (i.e., survey, interview questions), example of data collection (copy of a transcript, interview notes); copy of a participant consent form (if one was used).</w:t>
      </w:r>
    </w:p>
    <w:p w:rsidR="009928EE" w:rsidRDefault="009928EE" w:rsidP="009928EE">
      <w:pPr>
        <w:pStyle w:val="ListParagraph"/>
        <w:ind w:left="0"/>
      </w:pPr>
    </w:p>
    <w:p w:rsidR="009928EE" w:rsidRDefault="009928EE" w:rsidP="009928EE">
      <w:pPr>
        <w:pStyle w:val="ListParagraph"/>
        <w:ind w:left="0"/>
      </w:pPr>
    </w:p>
    <w:p w:rsidR="009928EE" w:rsidRPr="009928EE" w:rsidRDefault="009928EE" w:rsidP="009928EE">
      <w:pPr>
        <w:pStyle w:val="ListParagraph"/>
        <w:ind w:left="0"/>
        <w:rPr>
          <w:i/>
        </w:rPr>
      </w:pPr>
      <w:r>
        <w:rPr>
          <w:i/>
        </w:rPr>
        <w:t xml:space="preserve">Content </w:t>
      </w:r>
      <w:r w:rsidRPr="009928EE">
        <w:rPr>
          <w:i/>
        </w:rPr>
        <w:t>Provided by Dr. Steve Tyrell, VP for Student Affairs at Alfred State</w:t>
      </w:r>
      <w:r w:rsidR="00B107D8">
        <w:rPr>
          <w:i/>
        </w:rPr>
        <w:t xml:space="preserve"> 2011</w:t>
      </w:r>
    </w:p>
    <w:p w:rsidR="00CF19A0" w:rsidRPr="002231B8" w:rsidRDefault="00CF19A0" w:rsidP="00CF19A0">
      <w:pPr>
        <w:pStyle w:val="Title"/>
        <w:rPr>
          <w:sz w:val="32"/>
          <w:szCs w:val="32"/>
        </w:rPr>
      </w:pPr>
      <w:r>
        <w:br w:type="page"/>
      </w:r>
      <w:r w:rsidRPr="002231B8">
        <w:rPr>
          <w:sz w:val="32"/>
          <w:szCs w:val="32"/>
        </w:rPr>
        <w:lastRenderedPageBreak/>
        <w:t xml:space="preserve">Division of Student Affairs </w:t>
      </w:r>
    </w:p>
    <w:p w:rsidR="00CF19A0" w:rsidRPr="002231B8" w:rsidRDefault="00CF19A0" w:rsidP="002231B8"/>
    <w:p w:rsidR="002231B8" w:rsidRPr="002231B8" w:rsidRDefault="002231B8" w:rsidP="002231B8">
      <w:pPr>
        <w:rPr>
          <w:b/>
          <w:bCs/>
          <w:sz w:val="28"/>
          <w:szCs w:val="28"/>
        </w:rPr>
      </w:pPr>
      <w:r w:rsidRPr="002231B8">
        <w:rPr>
          <w:b/>
          <w:bCs/>
          <w:sz w:val="28"/>
          <w:szCs w:val="28"/>
        </w:rPr>
        <w:t>Student Affairs Mission Statement</w:t>
      </w:r>
    </w:p>
    <w:p w:rsidR="002231B8" w:rsidRDefault="002231B8" w:rsidP="002231B8">
      <w:pPr>
        <w:rPr>
          <w:bCs/>
        </w:rPr>
      </w:pPr>
    </w:p>
    <w:p w:rsidR="008D5AD9" w:rsidRDefault="008D5AD9" w:rsidP="008D5AD9">
      <w:pPr>
        <w:pStyle w:val="ListParagraph"/>
        <w:spacing w:after="0" w:line="240" w:lineRule="auto"/>
        <w:ind w:left="0"/>
        <w:rPr>
          <w:rFonts w:ascii="Times New Roman" w:hAnsi="Times New Roman"/>
          <w:sz w:val="24"/>
          <w:szCs w:val="24"/>
        </w:rPr>
      </w:pPr>
      <w:r>
        <w:rPr>
          <w:rFonts w:ascii="Times New Roman" w:hAnsi="Times New Roman"/>
          <w:sz w:val="24"/>
          <w:szCs w:val="24"/>
        </w:rPr>
        <w:t>The Division of Student Affairs creates a supportive educational community that facilitates academic success, professional development and personal growth.</w:t>
      </w:r>
    </w:p>
    <w:p w:rsidR="008D5AD9" w:rsidRDefault="008D5AD9" w:rsidP="002231B8">
      <w:pPr>
        <w:rPr>
          <w:bCs/>
        </w:rPr>
      </w:pPr>
    </w:p>
    <w:p w:rsidR="002231B8" w:rsidRPr="002231B8" w:rsidRDefault="002231B8" w:rsidP="002231B8">
      <w:pPr>
        <w:rPr>
          <w:b/>
          <w:sz w:val="28"/>
          <w:szCs w:val="28"/>
        </w:rPr>
      </w:pPr>
      <w:r w:rsidRPr="002231B8">
        <w:rPr>
          <w:b/>
          <w:sz w:val="28"/>
          <w:szCs w:val="28"/>
        </w:rPr>
        <w:t>Division of Student Affairs Goals</w:t>
      </w:r>
    </w:p>
    <w:p w:rsidR="002231B8" w:rsidRDefault="002231B8" w:rsidP="002231B8"/>
    <w:p w:rsidR="002231B8" w:rsidRDefault="002231B8" w:rsidP="002231B8">
      <w:r w:rsidRPr="002231B8">
        <w:t xml:space="preserve">1 </w:t>
      </w:r>
      <w:r w:rsidR="00451AAA">
        <w:t>–</w:t>
      </w:r>
      <w:r w:rsidRPr="002231B8">
        <w:t xml:space="preserve"> </w:t>
      </w:r>
      <w:r w:rsidR="00451AAA">
        <w:t>Student Outcomes</w:t>
      </w:r>
      <w:r w:rsidR="00DB2018">
        <w:t xml:space="preserve"> – a focus on learning outcomes</w:t>
      </w:r>
    </w:p>
    <w:p w:rsidR="00DB2018" w:rsidRPr="002231B8" w:rsidRDefault="00DB2018" w:rsidP="002231B8"/>
    <w:p w:rsidR="002231B8" w:rsidRPr="002231B8" w:rsidRDefault="002231B8" w:rsidP="002231B8">
      <w:r w:rsidRPr="002231B8">
        <w:t xml:space="preserve">2 </w:t>
      </w:r>
      <w:r w:rsidR="00451AAA">
        <w:t>–</w:t>
      </w:r>
      <w:r w:rsidRPr="002231B8">
        <w:t xml:space="preserve"> </w:t>
      </w:r>
      <w:r w:rsidR="00451AAA">
        <w:t>Professional Development</w:t>
      </w:r>
      <w:r w:rsidR="00DB2018">
        <w:t xml:space="preserve"> – focused on our own professional and student staff</w:t>
      </w:r>
    </w:p>
    <w:p w:rsidR="00DB2018" w:rsidRDefault="00DB2018" w:rsidP="002231B8"/>
    <w:p w:rsidR="002231B8" w:rsidRPr="002231B8" w:rsidRDefault="002231B8" w:rsidP="002231B8">
      <w:r w:rsidRPr="002231B8">
        <w:t xml:space="preserve">3 </w:t>
      </w:r>
      <w:r w:rsidR="00451AAA">
        <w:t>–</w:t>
      </w:r>
      <w:r w:rsidRPr="002231B8">
        <w:t xml:space="preserve"> </w:t>
      </w:r>
      <w:r w:rsidR="00DB2018">
        <w:t>Communication – both internally within our Division and with our external constituents</w:t>
      </w:r>
    </w:p>
    <w:p w:rsidR="00DB2018" w:rsidRDefault="00DB2018" w:rsidP="002231B8"/>
    <w:p w:rsidR="002231B8" w:rsidRPr="002231B8" w:rsidRDefault="002231B8" w:rsidP="002231B8">
      <w:r w:rsidRPr="002231B8">
        <w:t xml:space="preserve">4 </w:t>
      </w:r>
      <w:r w:rsidR="00451AAA">
        <w:t>–</w:t>
      </w:r>
      <w:r w:rsidRPr="002231B8">
        <w:t xml:space="preserve"> </w:t>
      </w:r>
      <w:r w:rsidR="00451AAA">
        <w:t>Partnerships and Advocacy</w:t>
      </w:r>
      <w:r w:rsidR="00DB2018">
        <w:t xml:space="preserve"> – focus on the Branch campus, initiatives with other Divisions, community outreach, advocacy for facility improvements, and seeking additional grants/contracts.</w:t>
      </w:r>
    </w:p>
    <w:p w:rsidR="002231B8" w:rsidRPr="002231B8" w:rsidRDefault="002231B8" w:rsidP="002231B8">
      <w:pPr>
        <w:rPr>
          <w:iCs/>
        </w:rPr>
      </w:pPr>
    </w:p>
    <w:p w:rsidR="002231B8" w:rsidRPr="002231B8" w:rsidRDefault="002231B8" w:rsidP="002231B8"/>
    <w:p w:rsidR="002231B8" w:rsidRPr="002231B8" w:rsidRDefault="002231B8" w:rsidP="002231B8">
      <w:pPr>
        <w:rPr>
          <w:bCs/>
          <w:i/>
        </w:rPr>
      </w:pPr>
    </w:p>
    <w:p w:rsidR="002231B8" w:rsidRPr="002231B8" w:rsidRDefault="002231B8" w:rsidP="002231B8">
      <w:pPr>
        <w:rPr>
          <w:b/>
          <w:bCs/>
          <w:sz w:val="28"/>
          <w:szCs w:val="28"/>
        </w:rPr>
      </w:pPr>
      <w:r w:rsidRPr="002231B8">
        <w:rPr>
          <w:b/>
          <w:bCs/>
          <w:sz w:val="28"/>
          <w:szCs w:val="28"/>
        </w:rPr>
        <w:t>Student Affairs Core Values</w:t>
      </w:r>
    </w:p>
    <w:p w:rsidR="002231B8" w:rsidRDefault="002231B8" w:rsidP="002231B8">
      <w:pPr>
        <w:rPr>
          <w:b/>
          <w:bCs/>
        </w:rPr>
      </w:pPr>
    </w:p>
    <w:p w:rsidR="002231B8" w:rsidRPr="002231B8" w:rsidRDefault="002231B8" w:rsidP="002231B8">
      <w:pPr>
        <w:rPr>
          <w:i/>
          <w:iCs/>
        </w:rPr>
      </w:pPr>
      <w:r w:rsidRPr="002231B8">
        <w:rPr>
          <w:b/>
          <w:bCs/>
        </w:rPr>
        <w:t xml:space="preserve">Affirmation – </w:t>
      </w:r>
      <w:r w:rsidRPr="002231B8">
        <w:t>celebrating</w:t>
      </w:r>
      <w:r w:rsidRPr="002231B8">
        <w:rPr>
          <w:b/>
          <w:bCs/>
        </w:rPr>
        <w:t xml:space="preserve"> </w:t>
      </w:r>
      <w:r w:rsidRPr="002231B8">
        <w:t>individual and group achievements and the traditions of the college.</w:t>
      </w:r>
    </w:p>
    <w:p w:rsidR="002231B8" w:rsidRPr="002231B8" w:rsidRDefault="002231B8" w:rsidP="002231B8">
      <w:pPr>
        <w:rPr>
          <w:i/>
          <w:iCs/>
        </w:rPr>
      </w:pPr>
      <w:r w:rsidRPr="002231B8">
        <w:rPr>
          <w:b/>
          <w:bCs/>
        </w:rPr>
        <w:t>Caring</w:t>
      </w:r>
      <w:r w:rsidRPr="002231B8">
        <w:t xml:space="preserve"> – creating an environment in which the physical, emotional and spiritual well being of each member of the community is sensitively supported, and where service to others is encouraged.</w:t>
      </w:r>
    </w:p>
    <w:p w:rsidR="002231B8" w:rsidRPr="002231B8" w:rsidRDefault="002231B8" w:rsidP="002231B8">
      <w:pPr>
        <w:rPr>
          <w:i/>
          <w:iCs/>
        </w:rPr>
      </w:pPr>
      <w:r w:rsidRPr="002231B8">
        <w:rPr>
          <w:b/>
          <w:bCs/>
        </w:rPr>
        <w:t xml:space="preserve">Challenge- </w:t>
      </w:r>
      <w:r w:rsidRPr="002231B8">
        <w:t>maintaining and reinforcing the highest expectations for academic excellence and personal integrity.</w:t>
      </w:r>
    </w:p>
    <w:p w:rsidR="002231B8" w:rsidRPr="002231B8" w:rsidRDefault="002231B8" w:rsidP="002231B8">
      <w:pPr>
        <w:rPr>
          <w:b/>
          <w:bCs/>
        </w:rPr>
      </w:pPr>
      <w:r w:rsidRPr="002231B8">
        <w:rPr>
          <w:b/>
          <w:bCs/>
        </w:rPr>
        <w:t>Communication</w:t>
      </w:r>
      <w:r w:rsidRPr="002231B8">
        <w:t xml:space="preserve"> – engaging in open, respectful and inclusive dialogue between and among all college individuals, groups and the greater community.</w:t>
      </w:r>
    </w:p>
    <w:p w:rsidR="002231B8" w:rsidRPr="002231B8" w:rsidRDefault="002231B8" w:rsidP="002231B8">
      <w:pPr>
        <w:rPr>
          <w:i/>
          <w:iCs/>
        </w:rPr>
      </w:pPr>
      <w:r w:rsidRPr="002231B8">
        <w:rPr>
          <w:b/>
          <w:bCs/>
        </w:rPr>
        <w:t>Community</w:t>
      </w:r>
      <w:r w:rsidRPr="002231B8">
        <w:t xml:space="preserve"> – promoting citizenship, leadership, diversity and civility within the context of standards, service, inclusion and civic responsibility.</w:t>
      </w:r>
    </w:p>
    <w:p w:rsidR="002231B8" w:rsidRPr="002231B8" w:rsidRDefault="002231B8" w:rsidP="002231B8">
      <w:pPr>
        <w:rPr>
          <w:i/>
          <w:iCs/>
        </w:rPr>
      </w:pPr>
      <w:r w:rsidRPr="002231B8">
        <w:rPr>
          <w:b/>
          <w:bCs/>
        </w:rPr>
        <w:t>Excellence</w:t>
      </w:r>
      <w:r w:rsidRPr="002231B8">
        <w:t xml:space="preserve"> – improving operations, programs and services through planning, implementation and assessment.</w:t>
      </w:r>
    </w:p>
    <w:p w:rsidR="00CF19A0" w:rsidRPr="002231B8" w:rsidRDefault="00CF19A0" w:rsidP="002231B8"/>
    <w:p w:rsidR="00095AAB" w:rsidRPr="002231B8" w:rsidRDefault="00095AAB" w:rsidP="002231B8">
      <w:pPr>
        <w:sectPr w:rsidR="00095AAB" w:rsidRPr="002231B8" w:rsidSect="00352CF5">
          <w:pgSz w:w="12240" w:h="15840" w:code="1"/>
          <w:pgMar w:top="1440" w:right="1440" w:bottom="1440" w:left="1440" w:header="720" w:footer="720" w:gutter="0"/>
          <w:paperSrc w:first="3" w:other="3"/>
          <w:cols w:space="720"/>
          <w:docGrid w:linePitch="360"/>
        </w:sectPr>
      </w:pPr>
    </w:p>
    <w:p w:rsidR="00095AAB" w:rsidRDefault="00095AAB" w:rsidP="00095AAB">
      <w:pPr>
        <w:pStyle w:val="Heading2"/>
        <w:jc w:val="center"/>
      </w:pPr>
      <w:r>
        <w:lastRenderedPageBreak/>
        <w:t>Extraordinary Student Activities</w:t>
      </w:r>
    </w:p>
    <w:p w:rsidR="00095AAB" w:rsidRDefault="00095AAB" w:rsidP="00095AAB">
      <w:pPr>
        <w:jc w:val="center"/>
        <w:rPr>
          <w:rFonts w:ascii="Comic Sans MS" w:hAnsi="Comic Sans MS"/>
        </w:rPr>
      </w:pPr>
      <w:r>
        <w:rPr>
          <w:rFonts w:ascii="Comic Sans MS" w:hAnsi="Comic Sans MS"/>
        </w:rPr>
        <w:t>Presentations, Publications &amp; Grants, Awards</w:t>
      </w:r>
    </w:p>
    <w:p w:rsidR="00095AAB" w:rsidRDefault="00095AAB" w:rsidP="00095AAB">
      <w:pPr>
        <w:jc w:val="center"/>
        <w:rPr>
          <w:rFonts w:ascii="Comic Sans MS" w:hAnsi="Comic Sans MS"/>
        </w:rPr>
      </w:pPr>
      <w:r>
        <w:rPr>
          <w:rFonts w:ascii="Comic Sans MS" w:hAnsi="Comic Sans MS"/>
        </w:rPr>
        <w:t>(List those students who have the following)</w:t>
      </w:r>
    </w:p>
    <w:p w:rsidR="00095AAB" w:rsidRDefault="00095AAB" w:rsidP="00095AAB">
      <w:pPr>
        <w:rPr>
          <w:rFonts w:ascii="Comic Sans MS" w:hAnsi="Comic Sans MS"/>
          <w:u w:val="single"/>
        </w:rPr>
      </w:pPr>
      <w:r>
        <w:rPr>
          <w:rFonts w:ascii="Comic Sans MS" w:hAnsi="Comic Sans MS"/>
          <w:u w:val="single"/>
        </w:rPr>
        <w:t>____________________________</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u w:val="single"/>
        </w:rPr>
        <w:t>______________________</w:t>
      </w:r>
    </w:p>
    <w:p w:rsidR="00095AAB" w:rsidRDefault="00095AAB" w:rsidP="00095AAB">
      <w:pPr>
        <w:pStyle w:val="Footer"/>
        <w:tabs>
          <w:tab w:val="clear" w:pos="4320"/>
          <w:tab w:val="clear" w:pos="8640"/>
        </w:tabs>
        <w:rPr>
          <w:rFonts w:ascii="Comic Sans MS" w:hAnsi="Comic Sans MS"/>
        </w:rPr>
      </w:pPr>
      <w:r>
        <w:rPr>
          <w:rFonts w:ascii="Comic Sans MS" w:hAnsi="Comic Sans MS"/>
        </w:rPr>
        <w:t>Department/Unit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Period Covered</w:t>
      </w:r>
    </w:p>
    <w:p w:rsidR="00095AAB" w:rsidRDefault="00095AAB" w:rsidP="00095AAB">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2664"/>
        <w:gridCol w:w="2664"/>
        <w:gridCol w:w="2664"/>
        <w:gridCol w:w="2664"/>
      </w:tblGrid>
      <w:tr w:rsidR="00095AAB" w:rsidTr="000B36C6">
        <w:tc>
          <w:tcPr>
            <w:tcW w:w="3600" w:type="dxa"/>
            <w:shd w:val="pct30" w:color="FFFF00" w:fill="FFFFFF"/>
          </w:tcPr>
          <w:p w:rsidR="00095AAB" w:rsidRPr="000B36C6" w:rsidRDefault="00095AAB" w:rsidP="000B36C6">
            <w:pPr>
              <w:pStyle w:val="Heading2"/>
            </w:pPr>
            <w:r w:rsidRPr="000B36C6">
              <w:t>Student Name</w:t>
            </w:r>
          </w:p>
          <w:p w:rsidR="00095AAB" w:rsidRDefault="00095AAB" w:rsidP="000B36C6">
            <w:pPr>
              <w:jc w:val="center"/>
              <w:rPr>
                <w:sz w:val="20"/>
              </w:rPr>
            </w:pPr>
            <w:r>
              <w:rPr>
                <w:sz w:val="20"/>
              </w:rPr>
              <w:t>(List only those students who have one of these items)</w:t>
            </w:r>
          </w:p>
        </w:tc>
        <w:tc>
          <w:tcPr>
            <w:tcW w:w="2664" w:type="dxa"/>
            <w:shd w:val="pct30" w:color="FFFF00" w:fill="FFFFFF"/>
          </w:tcPr>
          <w:p w:rsidR="00095AAB" w:rsidRDefault="00095AAB" w:rsidP="000B36C6">
            <w:pPr>
              <w:jc w:val="center"/>
              <w:rPr>
                <w:rFonts w:ascii="Comic Sans MS" w:hAnsi="Comic Sans MS"/>
                <w:b/>
                <w:bCs/>
              </w:rPr>
            </w:pPr>
            <w:r>
              <w:rPr>
                <w:rFonts w:ascii="Comic Sans MS" w:hAnsi="Comic Sans MS"/>
                <w:b/>
                <w:bCs/>
              </w:rPr>
              <w:t>Publications, Presentations, Performances</w:t>
            </w:r>
          </w:p>
          <w:p w:rsidR="00095AAB" w:rsidRDefault="00095AAB" w:rsidP="000B36C6">
            <w:pPr>
              <w:jc w:val="center"/>
              <w:rPr>
                <w:rFonts w:ascii="Comic Sans MS" w:hAnsi="Comic Sans MS"/>
                <w:b/>
                <w:bCs/>
              </w:rPr>
            </w:pPr>
            <w:r>
              <w:rPr>
                <w:sz w:val="20"/>
              </w:rPr>
              <w:t>(Beyond Classroom)</w:t>
            </w:r>
          </w:p>
        </w:tc>
        <w:tc>
          <w:tcPr>
            <w:tcW w:w="2664" w:type="dxa"/>
            <w:shd w:val="pct30" w:color="FFFF00" w:fill="FFFFFF"/>
          </w:tcPr>
          <w:p w:rsidR="00095AAB" w:rsidRDefault="00095AAB" w:rsidP="000B36C6">
            <w:pPr>
              <w:jc w:val="center"/>
              <w:rPr>
                <w:rFonts w:ascii="Comic Sans MS" w:hAnsi="Comic Sans MS"/>
                <w:b/>
                <w:bCs/>
              </w:rPr>
            </w:pPr>
            <w:r>
              <w:rPr>
                <w:rFonts w:ascii="Comic Sans MS" w:hAnsi="Comic Sans MS"/>
                <w:b/>
                <w:bCs/>
              </w:rPr>
              <w:t>Grants, External Awards</w:t>
            </w:r>
          </w:p>
        </w:tc>
        <w:tc>
          <w:tcPr>
            <w:tcW w:w="2664" w:type="dxa"/>
            <w:shd w:val="pct30" w:color="FFFF00" w:fill="FFFFFF"/>
          </w:tcPr>
          <w:p w:rsidR="00095AAB" w:rsidRDefault="00095AAB" w:rsidP="000B36C6">
            <w:pPr>
              <w:jc w:val="center"/>
              <w:rPr>
                <w:rFonts w:ascii="Comic Sans MS" w:hAnsi="Comic Sans MS"/>
                <w:b/>
                <w:bCs/>
              </w:rPr>
            </w:pPr>
            <w:r>
              <w:rPr>
                <w:rFonts w:ascii="Comic Sans MS" w:hAnsi="Comic Sans MS"/>
                <w:b/>
                <w:bCs/>
              </w:rPr>
              <w:t>Study Away, Internship, Independent Study</w:t>
            </w:r>
          </w:p>
        </w:tc>
        <w:tc>
          <w:tcPr>
            <w:tcW w:w="2664" w:type="dxa"/>
            <w:shd w:val="pct30" w:color="FFFF00" w:fill="FFFFFF"/>
          </w:tcPr>
          <w:p w:rsidR="00095AAB" w:rsidRDefault="00095AAB" w:rsidP="000B36C6">
            <w:pPr>
              <w:jc w:val="center"/>
              <w:rPr>
                <w:rFonts w:ascii="Comic Sans MS" w:hAnsi="Comic Sans MS"/>
                <w:b/>
                <w:bCs/>
              </w:rPr>
            </w:pPr>
            <w:r>
              <w:rPr>
                <w:rFonts w:ascii="Comic Sans MS" w:hAnsi="Comic Sans MS"/>
                <w:b/>
                <w:bCs/>
              </w:rPr>
              <w:t>Extraordinary Service Activities</w:t>
            </w:r>
          </w:p>
        </w:tc>
      </w:tr>
      <w:tr w:rsidR="00095AAB" w:rsidTr="000B36C6">
        <w:tc>
          <w:tcPr>
            <w:tcW w:w="3600" w:type="dxa"/>
          </w:tcPr>
          <w:p w:rsidR="00095AAB" w:rsidRDefault="00095AAB" w:rsidP="000B36C6">
            <w:pPr>
              <w:rPr>
                <w:rFonts w:ascii="Comic Sans MS" w:hAnsi="Comic Sans MS"/>
                <w:sz w:val="16"/>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sz w:val="16"/>
              </w:rPr>
            </w:pPr>
          </w:p>
          <w:p w:rsidR="00095AAB" w:rsidRDefault="00095AAB" w:rsidP="000B36C6">
            <w:pPr>
              <w:jc w:val="both"/>
              <w:rPr>
                <w:rFonts w:ascii="Comic Sans MS" w:hAnsi="Comic Sans MS"/>
                <w:sz w:val="16"/>
              </w:rPr>
            </w:pPr>
          </w:p>
        </w:tc>
      </w:tr>
      <w:tr w:rsidR="00095AAB" w:rsidTr="000B36C6">
        <w:tc>
          <w:tcPr>
            <w:tcW w:w="3600" w:type="dxa"/>
          </w:tcPr>
          <w:p w:rsidR="00095AAB" w:rsidRDefault="00095AAB" w:rsidP="000B36C6">
            <w:pPr>
              <w:jc w:val="both"/>
              <w:rPr>
                <w:rFonts w:ascii="Comic Sans MS" w:hAnsi="Comic Sans MS"/>
                <w:sz w:val="16"/>
              </w:rPr>
            </w:pPr>
          </w:p>
        </w:tc>
        <w:tc>
          <w:tcPr>
            <w:tcW w:w="2664" w:type="dxa"/>
          </w:tcPr>
          <w:p w:rsidR="00095AAB" w:rsidRDefault="00095AAB" w:rsidP="000B36C6">
            <w:pPr>
              <w:pStyle w:val="Footer"/>
              <w:tabs>
                <w:tab w:val="clear" w:pos="4320"/>
                <w:tab w:val="clear" w:pos="8640"/>
              </w:tabs>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sz w:val="16"/>
              </w:rPr>
            </w:pPr>
          </w:p>
          <w:p w:rsidR="00095AAB" w:rsidRDefault="00095AAB" w:rsidP="000B36C6">
            <w:pPr>
              <w:jc w:val="both"/>
              <w:rPr>
                <w:rFonts w:ascii="Comic Sans MS" w:hAnsi="Comic Sans MS"/>
                <w:sz w:val="16"/>
              </w:rPr>
            </w:pPr>
          </w:p>
        </w:tc>
      </w:tr>
      <w:tr w:rsidR="00095AAB" w:rsidTr="000B36C6">
        <w:tc>
          <w:tcPr>
            <w:tcW w:w="3600" w:type="dxa"/>
          </w:tcPr>
          <w:p w:rsidR="00095AAB" w:rsidRDefault="00095AAB" w:rsidP="000B36C6">
            <w:pPr>
              <w:jc w:val="both"/>
              <w:rPr>
                <w:rFonts w:ascii="Comic Sans MS" w:hAnsi="Comic Sans MS"/>
                <w:sz w:val="16"/>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sz w:val="16"/>
              </w:rPr>
            </w:pPr>
          </w:p>
          <w:p w:rsidR="00095AAB" w:rsidRDefault="00095AAB" w:rsidP="000B36C6">
            <w:pPr>
              <w:jc w:val="both"/>
              <w:rPr>
                <w:rFonts w:ascii="Comic Sans MS" w:hAnsi="Comic Sans MS"/>
                <w:sz w:val="16"/>
              </w:rPr>
            </w:pPr>
          </w:p>
        </w:tc>
      </w:tr>
      <w:tr w:rsidR="00095AAB" w:rsidTr="000B36C6">
        <w:tc>
          <w:tcPr>
            <w:tcW w:w="3600" w:type="dxa"/>
          </w:tcPr>
          <w:p w:rsidR="00095AAB" w:rsidRDefault="00095AAB" w:rsidP="000B36C6">
            <w:pPr>
              <w:jc w:val="both"/>
              <w:rPr>
                <w:rFonts w:ascii="Comic Sans MS" w:hAnsi="Comic Sans MS"/>
                <w:sz w:val="16"/>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sz w:val="16"/>
              </w:rPr>
            </w:pPr>
          </w:p>
          <w:p w:rsidR="00095AAB" w:rsidRDefault="00095AAB" w:rsidP="000B36C6">
            <w:pPr>
              <w:jc w:val="both"/>
              <w:rPr>
                <w:rFonts w:ascii="Comic Sans MS" w:hAnsi="Comic Sans MS"/>
                <w:sz w:val="16"/>
              </w:rPr>
            </w:pPr>
          </w:p>
        </w:tc>
      </w:tr>
      <w:tr w:rsidR="00095AAB" w:rsidTr="000B36C6">
        <w:tc>
          <w:tcPr>
            <w:tcW w:w="3600" w:type="dxa"/>
          </w:tcPr>
          <w:p w:rsidR="00095AAB" w:rsidRDefault="00095AAB" w:rsidP="000B36C6">
            <w:pPr>
              <w:jc w:val="both"/>
              <w:rPr>
                <w:rFonts w:ascii="Comic Sans MS" w:hAnsi="Comic Sans MS"/>
                <w:sz w:val="16"/>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sz w:val="16"/>
              </w:rPr>
            </w:pPr>
          </w:p>
        </w:tc>
        <w:tc>
          <w:tcPr>
            <w:tcW w:w="2664" w:type="dxa"/>
          </w:tcPr>
          <w:p w:rsidR="00095AAB" w:rsidRDefault="00095AAB" w:rsidP="000B36C6">
            <w:pPr>
              <w:jc w:val="both"/>
              <w:rPr>
                <w:rFonts w:ascii="Comic Sans MS" w:hAnsi="Comic Sans MS"/>
                <w:sz w:val="16"/>
              </w:rPr>
            </w:pPr>
          </w:p>
          <w:p w:rsidR="00095AAB" w:rsidRDefault="00095AAB" w:rsidP="000B36C6">
            <w:pPr>
              <w:jc w:val="both"/>
              <w:rPr>
                <w:rFonts w:ascii="Comic Sans MS" w:hAnsi="Comic Sans MS"/>
                <w:sz w:val="16"/>
              </w:rPr>
            </w:pPr>
          </w:p>
        </w:tc>
      </w:tr>
      <w:tr w:rsidR="00095AAB" w:rsidTr="000B36C6">
        <w:tc>
          <w:tcPr>
            <w:tcW w:w="3600" w:type="dxa"/>
          </w:tcPr>
          <w:p w:rsidR="00095AAB" w:rsidRDefault="00095AAB" w:rsidP="000B36C6">
            <w:pPr>
              <w:jc w:val="both"/>
              <w:rPr>
                <w:rFonts w:ascii="Comic Sans MS" w:hAnsi="Comic Sans MS"/>
                <w:sz w:val="16"/>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sz w:val="16"/>
              </w:rPr>
            </w:pPr>
          </w:p>
          <w:p w:rsidR="00095AAB" w:rsidRDefault="00095AAB" w:rsidP="000B36C6">
            <w:pPr>
              <w:jc w:val="both"/>
              <w:rPr>
                <w:rFonts w:ascii="Comic Sans MS" w:hAnsi="Comic Sans MS"/>
                <w:sz w:val="16"/>
              </w:rPr>
            </w:pPr>
          </w:p>
        </w:tc>
      </w:tr>
      <w:tr w:rsidR="00095AAB" w:rsidTr="000B36C6">
        <w:tc>
          <w:tcPr>
            <w:tcW w:w="3600" w:type="dxa"/>
          </w:tcPr>
          <w:p w:rsidR="00095AAB" w:rsidRDefault="00095AAB" w:rsidP="000B36C6">
            <w:pPr>
              <w:jc w:val="both"/>
              <w:rPr>
                <w:rFonts w:ascii="Comic Sans MS" w:hAnsi="Comic Sans MS"/>
                <w:sz w:val="16"/>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sz w:val="16"/>
              </w:rPr>
            </w:pPr>
          </w:p>
          <w:p w:rsidR="00095AAB" w:rsidRDefault="00095AAB" w:rsidP="000B36C6">
            <w:pPr>
              <w:jc w:val="both"/>
              <w:rPr>
                <w:rFonts w:ascii="Comic Sans MS" w:hAnsi="Comic Sans MS"/>
                <w:sz w:val="16"/>
              </w:rPr>
            </w:pPr>
          </w:p>
        </w:tc>
      </w:tr>
      <w:tr w:rsidR="00095AAB" w:rsidTr="000B36C6">
        <w:tc>
          <w:tcPr>
            <w:tcW w:w="3600" w:type="dxa"/>
          </w:tcPr>
          <w:p w:rsidR="00095AAB" w:rsidRDefault="00095AAB" w:rsidP="000B36C6">
            <w:pPr>
              <w:jc w:val="both"/>
              <w:rPr>
                <w:rFonts w:ascii="Comic Sans MS" w:hAnsi="Comic Sans MS"/>
                <w:sz w:val="16"/>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sz w:val="16"/>
              </w:rPr>
            </w:pPr>
          </w:p>
          <w:p w:rsidR="00095AAB" w:rsidRDefault="00095AAB" w:rsidP="000B36C6">
            <w:pPr>
              <w:jc w:val="both"/>
              <w:rPr>
                <w:rFonts w:ascii="Comic Sans MS" w:hAnsi="Comic Sans MS"/>
                <w:sz w:val="16"/>
              </w:rPr>
            </w:pPr>
          </w:p>
        </w:tc>
      </w:tr>
      <w:tr w:rsidR="00095AAB" w:rsidTr="000B36C6">
        <w:tc>
          <w:tcPr>
            <w:tcW w:w="3600" w:type="dxa"/>
          </w:tcPr>
          <w:p w:rsidR="00095AAB" w:rsidRDefault="00095AAB" w:rsidP="000B36C6">
            <w:pPr>
              <w:jc w:val="both"/>
              <w:rPr>
                <w:rFonts w:ascii="Comic Sans MS" w:hAnsi="Comic Sans MS"/>
                <w:sz w:val="16"/>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sz w:val="16"/>
              </w:rPr>
            </w:pPr>
          </w:p>
          <w:p w:rsidR="00095AAB" w:rsidRDefault="00095AAB" w:rsidP="000B36C6">
            <w:pPr>
              <w:jc w:val="both"/>
              <w:rPr>
                <w:rFonts w:ascii="Comic Sans MS" w:hAnsi="Comic Sans MS"/>
                <w:sz w:val="16"/>
              </w:rPr>
            </w:pPr>
          </w:p>
        </w:tc>
      </w:tr>
      <w:tr w:rsidR="00095AAB" w:rsidTr="000B36C6">
        <w:tc>
          <w:tcPr>
            <w:tcW w:w="3600" w:type="dxa"/>
          </w:tcPr>
          <w:p w:rsidR="00095AAB" w:rsidRDefault="00095AAB" w:rsidP="000B36C6">
            <w:pPr>
              <w:jc w:val="both"/>
              <w:rPr>
                <w:rFonts w:ascii="Comic Sans MS" w:hAnsi="Comic Sans MS"/>
                <w:sz w:val="16"/>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sz w:val="16"/>
              </w:rPr>
            </w:pPr>
          </w:p>
          <w:p w:rsidR="00095AAB" w:rsidRDefault="00095AAB" w:rsidP="000B36C6">
            <w:pPr>
              <w:jc w:val="both"/>
              <w:rPr>
                <w:rFonts w:ascii="Comic Sans MS" w:hAnsi="Comic Sans MS"/>
                <w:sz w:val="16"/>
              </w:rPr>
            </w:pPr>
          </w:p>
        </w:tc>
      </w:tr>
      <w:tr w:rsidR="00095AAB" w:rsidTr="000B36C6">
        <w:tc>
          <w:tcPr>
            <w:tcW w:w="3600" w:type="dxa"/>
          </w:tcPr>
          <w:p w:rsidR="00095AAB" w:rsidRDefault="00095AAB" w:rsidP="000B36C6">
            <w:pPr>
              <w:jc w:val="both"/>
              <w:rPr>
                <w:rFonts w:ascii="Comic Sans MS" w:hAnsi="Comic Sans MS"/>
                <w:sz w:val="16"/>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sz w:val="16"/>
              </w:rPr>
            </w:pPr>
          </w:p>
          <w:p w:rsidR="00095AAB" w:rsidRDefault="00095AAB" w:rsidP="000B36C6">
            <w:pPr>
              <w:jc w:val="both"/>
              <w:rPr>
                <w:rFonts w:ascii="Comic Sans MS" w:hAnsi="Comic Sans MS"/>
                <w:sz w:val="16"/>
              </w:rPr>
            </w:pPr>
          </w:p>
        </w:tc>
      </w:tr>
      <w:tr w:rsidR="00095AAB" w:rsidTr="000B36C6">
        <w:tc>
          <w:tcPr>
            <w:tcW w:w="3600" w:type="dxa"/>
          </w:tcPr>
          <w:p w:rsidR="00095AAB" w:rsidRDefault="00095AAB" w:rsidP="000B36C6">
            <w:pPr>
              <w:jc w:val="both"/>
              <w:rPr>
                <w:rFonts w:ascii="Comic Sans MS" w:hAnsi="Comic Sans MS"/>
                <w:sz w:val="16"/>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sz w:val="16"/>
              </w:rPr>
            </w:pPr>
          </w:p>
          <w:p w:rsidR="00095AAB" w:rsidRDefault="00095AAB" w:rsidP="000B36C6">
            <w:pPr>
              <w:jc w:val="both"/>
              <w:rPr>
                <w:rFonts w:ascii="Comic Sans MS" w:hAnsi="Comic Sans MS"/>
                <w:sz w:val="16"/>
              </w:rPr>
            </w:pPr>
          </w:p>
        </w:tc>
      </w:tr>
      <w:tr w:rsidR="00095AAB" w:rsidTr="000B36C6">
        <w:tc>
          <w:tcPr>
            <w:tcW w:w="3600" w:type="dxa"/>
          </w:tcPr>
          <w:p w:rsidR="00095AAB" w:rsidRDefault="00095AAB" w:rsidP="000B36C6">
            <w:pPr>
              <w:jc w:val="both"/>
              <w:rPr>
                <w:rFonts w:ascii="Comic Sans MS" w:hAnsi="Comic Sans MS"/>
                <w:sz w:val="16"/>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sz w:val="16"/>
              </w:rPr>
            </w:pPr>
          </w:p>
          <w:p w:rsidR="00095AAB" w:rsidRDefault="00095AAB" w:rsidP="000B36C6">
            <w:pPr>
              <w:jc w:val="both"/>
              <w:rPr>
                <w:rFonts w:ascii="Comic Sans MS" w:hAnsi="Comic Sans MS"/>
                <w:sz w:val="16"/>
              </w:rPr>
            </w:pPr>
          </w:p>
        </w:tc>
      </w:tr>
      <w:tr w:rsidR="00095AAB" w:rsidTr="000B36C6">
        <w:tc>
          <w:tcPr>
            <w:tcW w:w="3600" w:type="dxa"/>
          </w:tcPr>
          <w:p w:rsidR="00095AAB" w:rsidRDefault="00095AAB" w:rsidP="000B36C6">
            <w:pPr>
              <w:jc w:val="both"/>
              <w:rPr>
                <w:rFonts w:ascii="Comic Sans MS" w:hAnsi="Comic Sans MS"/>
                <w:sz w:val="16"/>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rPr>
            </w:pPr>
          </w:p>
        </w:tc>
        <w:tc>
          <w:tcPr>
            <w:tcW w:w="2664" w:type="dxa"/>
          </w:tcPr>
          <w:p w:rsidR="00095AAB" w:rsidRDefault="00095AAB" w:rsidP="000B36C6">
            <w:pPr>
              <w:jc w:val="both"/>
              <w:rPr>
                <w:rFonts w:ascii="Comic Sans MS" w:hAnsi="Comic Sans MS"/>
                <w:sz w:val="16"/>
              </w:rPr>
            </w:pPr>
          </w:p>
          <w:p w:rsidR="00095AAB" w:rsidRDefault="00095AAB" w:rsidP="000B36C6">
            <w:pPr>
              <w:jc w:val="both"/>
              <w:rPr>
                <w:rFonts w:ascii="Comic Sans MS" w:hAnsi="Comic Sans MS"/>
                <w:sz w:val="16"/>
              </w:rPr>
            </w:pPr>
          </w:p>
        </w:tc>
      </w:tr>
    </w:tbl>
    <w:p w:rsidR="00E524FA" w:rsidRDefault="00E524FA" w:rsidP="00095AAB">
      <w:pPr>
        <w:sectPr w:rsidR="00E524FA">
          <w:footerReference w:type="even" r:id="rId8"/>
          <w:footerReference w:type="default" r:id="rId9"/>
          <w:pgSz w:w="15840" w:h="12240" w:orient="landscape" w:code="1"/>
          <w:pgMar w:top="720" w:right="720" w:bottom="720" w:left="720" w:header="720" w:footer="720" w:gutter="0"/>
          <w:cols w:space="720"/>
          <w:docGrid w:linePitch="360"/>
        </w:sect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329"/>
        <w:gridCol w:w="1624"/>
        <w:gridCol w:w="2060"/>
        <w:gridCol w:w="1883"/>
        <w:gridCol w:w="1537"/>
        <w:gridCol w:w="2378"/>
      </w:tblGrid>
      <w:tr w:rsidR="00E524FA" w:rsidRPr="00044D79" w:rsidTr="00E524FA">
        <w:trPr>
          <w:trHeight w:val="331"/>
        </w:trPr>
        <w:tc>
          <w:tcPr>
            <w:tcW w:w="13680" w:type="dxa"/>
            <w:gridSpan w:val="7"/>
            <w:hideMark/>
          </w:tcPr>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2120"/>
              <w:gridCol w:w="1580"/>
              <w:gridCol w:w="1860"/>
              <w:gridCol w:w="1740"/>
              <w:gridCol w:w="1560"/>
              <w:gridCol w:w="2940"/>
            </w:tblGrid>
            <w:tr w:rsidR="00F03A46" w:rsidRPr="00044D79" w:rsidTr="00E54F6D">
              <w:trPr>
                <w:trHeight w:val="331"/>
              </w:trPr>
              <w:tc>
                <w:tcPr>
                  <w:tcW w:w="13680" w:type="dxa"/>
                  <w:gridSpan w:val="7"/>
                  <w:hideMark/>
                </w:tcPr>
                <w:p w:rsidR="00F03A46" w:rsidRPr="00E524FA" w:rsidRDefault="00F03A46" w:rsidP="00E54F6D">
                  <w:pPr>
                    <w:spacing w:after="200" w:line="276" w:lineRule="auto"/>
                    <w:rPr>
                      <w:b/>
                      <w:bCs/>
                    </w:rPr>
                  </w:pPr>
                  <w:r w:rsidRPr="00E524FA">
                    <w:rPr>
                      <w:b/>
                      <w:bCs/>
                    </w:rPr>
                    <w:lastRenderedPageBreak/>
                    <w:t xml:space="preserve">Department:                                           Author:                                                                                  Date: __/___/___ </w:t>
                  </w:r>
                </w:p>
              </w:tc>
            </w:tr>
            <w:tr w:rsidR="00F03A46" w:rsidRPr="00044D79" w:rsidTr="00E54F6D">
              <w:trPr>
                <w:trHeight w:val="466"/>
              </w:trPr>
              <w:tc>
                <w:tcPr>
                  <w:tcW w:w="13680" w:type="dxa"/>
                  <w:gridSpan w:val="7"/>
                  <w:hideMark/>
                </w:tcPr>
                <w:p w:rsidR="00F03A46" w:rsidRPr="00E524FA" w:rsidRDefault="00F03A46" w:rsidP="00E54F6D">
                  <w:pPr>
                    <w:spacing w:after="200"/>
                    <w:rPr>
                      <w:b/>
                      <w:bCs/>
                    </w:rPr>
                  </w:pPr>
                  <w:r w:rsidRPr="00E524FA">
                    <w:rPr>
                      <w:b/>
                      <w:bCs/>
                    </w:rPr>
                    <w:t xml:space="preserve">Departmental Mission Statement </w:t>
                  </w:r>
                </w:p>
              </w:tc>
            </w:tr>
            <w:tr w:rsidR="00F03A46" w:rsidRPr="00044D79" w:rsidTr="00E54F6D">
              <w:trPr>
                <w:trHeight w:val="1763"/>
              </w:trPr>
              <w:tc>
                <w:tcPr>
                  <w:tcW w:w="13680" w:type="dxa"/>
                  <w:gridSpan w:val="7"/>
                  <w:hideMark/>
                </w:tcPr>
                <w:p w:rsidR="00F03A46" w:rsidRPr="00E524FA" w:rsidRDefault="00F03A46" w:rsidP="00E54F6D">
                  <w:pPr>
                    <w:spacing w:after="200"/>
                    <w:rPr>
                      <w:b/>
                      <w:bCs/>
                    </w:rPr>
                  </w:pPr>
                  <w:r w:rsidRPr="00E524FA">
                    <w:rPr>
                      <w:b/>
                      <w:bCs/>
                    </w:rPr>
                    <w:t>Program Goals Linked to Department Mission, College Mission, and/or Institutional Strategic Plan (make linkage below):</w:t>
                  </w:r>
                </w:p>
                <w:p w:rsidR="00F03A46" w:rsidRPr="00E524FA" w:rsidRDefault="00F03A46" w:rsidP="00E54F6D">
                  <w:pPr>
                    <w:spacing w:after="200"/>
                    <w:rPr>
                      <w:b/>
                      <w:bCs/>
                    </w:rPr>
                  </w:pPr>
                  <w:r w:rsidRPr="00E524FA">
                    <w:rPr>
                      <w:b/>
                      <w:bCs/>
                    </w:rPr>
                    <w:t xml:space="preserve">1. </w:t>
                  </w:r>
                </w:p>
                <w:p w:rsidR="00F03A46" w:rsidRPr="00E524FA" w:rsidRDefault="00F03A46" w:rsidP="00E54F6D">
                  <w:pPr>
                    <w:spacing w:after="200"/>
                    <w:rPr>
                      <w:b/>
                      <w:bCs/>
                    </w:rPr>
                  </w:pPr>
                  <w:r w:rsidRPr="00E524FA">
                    <w:rPr>
                      <w:b/>
                      <w:bCs/>
                    </w:rPr>
                    <w:t>2.</w:t>
                  </w:r>
                </w:p>
                <w:p w:rsidR="00F03A46" w:rsidRPr="00E524FA" w:rsidRDefault="00F03A46" w:rsidP="00E54F6D">
                  <w:pPr>
                    <w:spacing w:after="200"/>
                    <w:rPr>
                      <w:b/>
                      <w:bCs/>
                    </w:rPr>
                  </w:pPr>
                  <w:r w:rsidRPr="00E524FA">
                    <w:rPr>
                      <w:b/>
                      <w:bCs/>
                    </w:rPr>
                    <w:t xml:space="preserve">3. </w:t>
                  </w:r>
                </w:p>
                <w:p w:rsidR="00F03A46" w:rsidRPr="00E524FA" w:rsidRDefault="00F03A46" w:rsidP="00E54F6D">
                  <w:pPr>
                    <w:spacing w:after="200"/>
                    <w:rPr>
                      <w:b/>
                      <w:bCs/>
                    </w:rPr>
                  </w:pPr>
                  <w:r w:rsidRPr="00E524FA">
                    <w:rPr>
                      <w:b/>
                      <w:bCs/>
                    </w:rPr>
                    <w:t xml:space="preserve">4. </w:t>
                  </w:r>
                </w:p>
              </w:tc>
            </w:tr>
            <w:tr w:rsidR="00F03A46" w:rsidRPr="00044D79" w:rsidTr="00E54F6D">
              <w:trPr>
                <w:trHeight w:val="466"/>
              </w:trPr>
              <w:tc>
                <w:tcPr>
                  <w:tcW w:w="13680" w:type="dxa"/>
                  <w:gridSpan w:val="7"/>
                  <w:hideMark/>
                </w:tcPr>
                <w:p w:rsidR="00F03A46" w:rsidRPr="00E524FA" w:rsidRDefault="00F03A46" w:rsidP="00451AAA">
                  <w:pPr>
                    <w:spacing w:after="200"/>
                    <w:rPr>
                      <w:b/>
                      <w:bCs/>
                    </w:rPr>
                  </w:pPr>
                  <w:r w:rsidRPr="00E524FA">
                    <w:rPr>
                      <w:b/>
                      <w:bCs/>
                    </w:rPr>
                    <w:t>Year 201</w:t>
                  </w:r>
                  <w:r w:rsidR="00451AAA">
                    <w:rPr>
                      <w:b/>
                      <w:bCs/>
                    </w:rPr>
                    <w:t>4</w:t>
                  </w:r>
                  <w:r w:rsidRPr="00E524FA">
                    <w:rPr>
                      <w:b/>
                      <w:bCs/>
                    </w:rPr>
                    <w:t>-201</w:t>
                  </w:r>
                  <w:r w:rsidR="00451AAA">
                    <w:rPr>
                      <w:b/>
                      <w:bCs/>
                    </w:rPr>
                    <w:t>5</w:t>
                  </w:r>
                  <w:r w:rsidRPr="00E524FA">
                    <w:rPr>
                      <w:b/>
                      <w:bCs/>
                    </w:rPr>
                    <w:t xml:space="preserve"> </w:t>
                  </w:r>
                </w:p>
              </w:tc>
            </w:tr>
            <w:tr w:rsidR="00F03A46" w:rsidRPr="00044D79" w:rsidTr="00E54F6D">
              <w:trPr>
                <w:trHeight w:val="1145"/>
              </w:trPr>
              <w:tc>
                <w:tcPr>
                  <w:tcW w:w="5580" w:type="dxa"/>
                  <w:gridSpan w:val="3"/>
                  <w:hideMark/>
                </w:tcPr>
                <w:p w:rsidR="00F03A46" w:rsidRPr="00E524FA" w:rsidRDefault="00F03A46" w:rsidP="00E54F6D">
                  <w:pPr>
                    <w:spacing w:after="200"/>
                    <w:jc w:val="center"/>
                    <w:rPr>
                      <w:b/>
                      <w:bCs/>
                    </w:rPr>
                  </w:pPr>
                  <w:r w:rsidRPr="00E524FA">
                    <w:rPr>
                      <w:b/>
                      <w:bCs/>
                    </w:rPr>
                    <w:t>Assessment Plan 201</w:t>
                  </w:r>
                  <w:r w:rsidR="00FE0A7F">
                    <w:rPr>
                      <w:b/>
                      <w:bCs/>
                    </w:rPr>
                    <w:t>5</w:t>
                  </w:r>
                  <w:r w:rsidRPr="00E524FA">
                    <w:rPr>
                      <w:b/>
                      <w:bCs/>
                    </w:rPr>
                    <w:t>-1</w:t>
                  </w:r>
                  <w:r w:rsidR="00FE0A7F">
                    <w:rPr>
                      <w:b/>
                      <w:bCs/>
                    </w:rPr>
                    <w:t>6</w:t>
                  </w:r>
                </w:p>
                <w:p w:rsidR="00F03A46" w:rsidRPr="00E524FA" w:rsidRDefault="00F03A46" w:rsidP="00FE0A7F">
                  <w:pPr>
                    <w:spacing w:after="200"/>
                    <w:jc w:val="center"/>
                    <w:rPr>
                      <w:b/>
                      <w:bCs/>
                    </w:rPr>
                  </w:pPr>
                  <w:r w:rsidRPr="00E524FA">
                    <w:rPr>
                      <w:b/>
                      <w:bCs/>
                      <w:i/>
                      <w:iCs/>
                    </w:rPr>
                    <w:t>To Be Completed By June 1</w:t>
                  </w:r>
                  <w:r w:rsidR="00FE0A7F">
                    <w:rPr>
                      <w:b/>
                      <w:bCs/>
                      <w:i/>
                      <w:iCs/>
                    </w:rPr>
                    <w:t>5</w:t>
                  </w:r>
                  <w:r w:rsidRPr="00E524FA">
                    <w:rPr>
                      <w:b/>
                      <w:bCs/>
                      <w:i/>
                      <w:iCs/>
                    </w:rPr>
                    <w:t>, 201</w:t>
                  </w:r>
                  <w:r w:rsidR="00FE0A7F">
                    <w:rPr>
                      <w:b/>
                      <w:bCs/>
                      <w:i/>
                      <w:iCs/>
                    </w:rPr>
                    <w:t>5</w:t>
                  </w:r>
                </w:p>
              </w:tc>
              <w:tc>
                <w:tcPr>
                  <w:tcW w:w="8100" w:type="dxa"/>
                  <w:gridSpan w:val="4"/>
                  <w:hideMark/>
                </w:tcPr>
                <w:p w:rsidR="00F03A46" w:rsidRPr="00E524FA" w:rsidRDefault="00F03A46" w:rsidP="00E54F6D">
                  <w:pPr>
                    <w:spacing w:after="200"/>
                    <w:jc w:val="center"/>
                    <w:rPr>
                      <w:b/>
                      <w:bCs/>
                    </w:rPr>
                  </w:pPr>
                  <w:r>
                    <w:rPr>
                      <w:b/>
                      <w:bCs/>
                    </w:rPr>
                    <w:t>Assessment Report on 201</w:t>
                  </w:r>
                  <w:r w:rsidR="00FE0A7F">
                    <w:rPr>
                      <w:b/>
                      <w:bCs/>
                    </w:rPr>
                    <w:t>5</w:t>
                  </w:r>
                  <w:r>
                    <w:rPr>
                      <w:b/>
                      <w:bCs/>
                    </w:rPr>
                    <w:t>-1</w:t>
                  </w:r>
                  <w:r w:rsidR="00FE0A7F">
                    <w:rPr>
                      <w:b/>
                      <w:bCs/>
                    </w:rPr>
                    <w:t>6</w:t>
                  </w:r>
                  <w:r w:rsidRPr="00E524FA">
                    <w:rPr>
                      <w:b/>
                      <w:bCs/>
                    </w:rPr>
                    <w:t xml:space="preserve"> Plan</w:t>
                  </w:r>
                </w:p>
                <w:p w:rsidR="00F03A46" w:rsidRPr="00E524FA" w:rsidRDefault="00F03A46" w:rsidP="00FE0A7F">
                  <w:pPr>
                    <w:spacing w:after="200"/>
                    <w:jc w:val="center"/>
                    <w:rPr>
                      <w:b/>
                      <w:bCs/>
                    </w:rPr>
                  </w:pPr>
                  <w:r w:rsidRPr="00E524FA">
                    <w:rPr>
                      <w:b/>
                      <w:bCs/>
                      <w:i/>
                      <w:iCs/>
                    </w:rPr>
                    <w:t>To Be Completed By June 201</w:t>
                  </w:r>
                  <w:r w:rsidR="00FE0A7F">
                    <w:rPr>
                      <w:b/>
                      <w:bCs/>
                      <w:i/>
                      <w:iCs/>
                    </w:rPr>
                    <w:t>6</w:t>
                  </w:r>
                  <w:r w:rsidRPr="00E524FA">
                    <w:rPr>
                      <w:b/>
                      <w:bCs/>
                      <w:i/>
                      <w:iCs/>
                    </w:rPr>
                    <w:t xml:space="preserve"> </w:t>
                  </w:r>
                </w:p>
              </w:tc>
            </w:tr>
            <w:tr w:rsidR="00F03A46" w:rsidRPr="00044D79" w:rsidTr="00E54F6D">
              <w:trPr>
                <w:trHeight w:val="5226"/>
              </w:trPr>
              <w:tc>
                <w:tcPr>
                  <w:tcW w:w="1880" w:type="dxa"/>
                  <w:hideMark/>
                </w:tcPr>
                <w:p w:rsidR="00F03A46" w:rsidRPr="00E524FA" w:rsidRDefault="00F03A46" w:rsidP="00E54F6D">
                  <w:pPr>
                    <w:spacing w:after="200"/>
                    <w:jc w:val="center"/>
                    <w:rPr>
                      <w:b/>
                      <w:bCs/>
                    </w:rPr>
                  </w:pPr>
                  <w:r w:rsidRPr="00E524FA">
                    <w:rPr>
                      <w:b/>
                      <w:bCs/>
                    </w:rPr>
                    <w:t>Goal Number and Description of Objective (intended outcomes)</w:t>
                  </w:r>
                </w:p>
              </w:tc>
              <w:tc>
                <w:tcPr>
                  <w:tcW w:w="2120" w:type="dxa"/>
                  <w:hideMark/>
                </w:tcPr>
                <w:p w:rsidR="00F03A46" w:rsidRPr="00E524FA" w:rsidRDefault="00F03A46" w:rsidP="00E54F6D">
                  <w:pPr>
                    <w:spacing w:after="200"/>
                    <w:jc w:val="center"/>
                    <w:rPr>
                      <w:b/>
                      <w:bCs/>
                    </w:rPr>
                  </w:pPr>
                  <w:r w:rsidRPr="00E524FA">
                    <w:rPr>
                      <w:b/>
                      <w:bCs/>
                    </w:rPr>
                    <w:t>Effectiveness Indicators  (what will be measured)</w:t>
                  </w:r>
                </w:p>
              </w:tc>
              <w:tc>
                <w:tcPr>
                  <w:tcW w:w="1580" w:type="dxa"/>
                  <w:hideMark/>
                </w:tcPr>
                <w:p w:rsidR="00F03A46" w:rsidRPr="00E524FA" w:rsidRDefault="00F03A46" w:rsidP="00E54F6D">
                  <w:pPr>
                    <w:spacing w:after="200"/>
                    <w:jc w:val="center"/>
                    <w:rPr>
                      <w:b/>
                      <w:bCs/>
                    </w:rPr>
                  </w:pPr>
                  <w:r w:rsidRPr="00E524FA">
                    <w:rPr>
                      <w:b/>
                      <w:bCs/>
                    </w:rPr>
                    <w:t xml:space="preserve">Success Criteria </w:t>
                  </w:r>
                </w:p>
              </w:tc>
              <w:tc>
                <w:tcPr>
                  <w:tcW w:w="1860" w:type="dxa"/>
                  <w:hideMark/>
                </w:tcPr>
                <w:p w:rsidR="00F03A46" w:rsidRPr="00E524FA" w:rsidRDefault="00F03A46" w:rsidP="00E54F6D">
                  <w:pPr>
                    <w:spacing w:after="200"/>
                    <w:jc w:val="center"/>
                    <w:rPr>
                      <w:b/>
                      <w:bCs/>
                    </w:rPr>
                  </w:pPr>
                  <w:r w:rsidRPr="00E524FA">
                    <w:rPr>
                      <w:b/>
                      <w:bCs/>
                    </w:rPr>
                    <w:t xml:space="preserve">Data Collection and Analysis Procedures </w:t>
                  </w:r>
                </w:p>
              </w:tc>
              <w:tc>
                <w:tcPr>
                  <w:tcW w:w="1740" w:type="dxa"/>
                  <w:hideMark/>
                </w:tcPr>
                <w:p w:rsidR="00F03A46" w:rsidRPr="00E524FA" w:rsidRDefault="00F03A46" w:rsidP="00E54F6D">
                  <w:pPr>
                    <w:spacing w:after="200"/>
                    <w:jc w:val="center"/>
                    <w:rPr>
                      <w:b/>
                      <w:bCs/>
                    </w:rPr>
                  </w:pPr>
                  <w:r w:rsidRPr="00E524FA">
                    <w:rPr>
                      <w:b/>
                      <w:bCs/>
                    </w:rPr>
                    <w:t xml:space="preserve">Outcomes </w:t>
                  </w:r>
                </w:p>
              </w:tc>
              <w:tc>
                <w:tcPr>
                  <w:tcW w:w="1560" w:type="dxa"/>
                  <w:hideMark/>
                </w:tcPr>
                <w:p w:rsidR="00F03A46" w:rsidRPr="00E524FA" w:rsidRDefault="00F03A46" w:rsidP="00E54F6D">
                  <w:pPr>
                    <w:spacing w:after="200"/>
                    <w:jc w:val="center"/>
                    <w:rPr>
                      <w:b/>
                      <w:bCs/>
                    </w:rPr>
                  </w:pPr>
                  <w:r w:rsidRPr="00E524FA">
                    <w:rPr>
                      <w:b/>
                      <w:bCs/>
                    </w:rPr>
                    <w:t xml:space="preserve">Review of Results </w:t>
                  </w:r>
                </w:p>
              </w:tc>
              <w:tc>
                <w:tcPr>
                  <w:tcW w:w="2940" w:type="dxa"/>
                  <w:hideMark/>
                </w:tcPr>
                <w:p w:rsidR="00F03A46" w:rsidRPr="00E524FA" w:rsidRDefault="00F03A46" w:rsidP="00E54F6D">
                  <w:pPr>
                    <w:spacing w:after="200"/>
                    <w:jc w:val="center"/>
                    <w:rPr>
                      <w:b/>
                      <w:bCs/>
                    </w:rPr>
                  </w:pPr>
                  <w:r w:rsidRPr="00E524FA">
                    <w:rPr>
                      <w:b/>
                      <w:bCs/>
                    </w:rPr>
                    <w:t xml:space="preserve">Utilization of Results </w:t>
                  </w:r>
                </w:p>
              </w:tc>
            </w:tr>
          </w:tbl>
          <w:p w:rsidR="00E524FA" w:rsidRPr="00E524FA" w:rsidRDefault="00E524FA" w:rsidP="00E524FA">
            <w:pPr>
              <w:spacing w:after="200" w:line="276" w:lineRule="auto"/>
              <w:rPr>
                <w:b/>
                <w:bCs/>
              </w:rPr>
            </w:pPr>
            <w:r w:rsidRPr="00E524FA">
              <w:rPr>
                <w:b/>
                <w:bCs/>
              </w:rPr>
              <w:lastRenderedPageBreak/>
              <w:t xml:space="preserve">Department:                                           Author:                                                                                  Date: __/___/___ </w:t>
            </w:r>
          </w:p>
        </w:tc>
      </w:tr>
      <w:tr w:rsidR="00E524FA" w:rsidRPr="00044D79" w:rsidTr="00E524FA">
        <w:trPr>
          <w:trHeight w:val="466"/>
        </w:trPr>
        <w:tc>
          <w:tcPr>
            <w:tcW w:w="13680" w:type="dxa"/>
            <w:gridSpan w:val="7"/>
            <w:hideMark/>
          </w:tcPr>
          <w:p w:rsidR="00E524FA" w:rsidRPr="00E524FA" w:rsidRDefault="00E524FA" w:rsidP="00E524FA">
            <w:pPr>
              <w:spacing w:after="200"/>
              <w:rPr>
                <w:b/>
                <w:bCs/>
              </w:rPr>
            </w:pPr>
            <w:r w:rsidRPr="00E524FA">
              <w:rPr>
                <w:b/>
                <w:bCs/>
              </w:rPr>
              <w:lastRenderedPageBreak/>
              <w:t xml:space="preserve">Departmental Mission Statement </w:t>
            </w:r>
          </w:p>
        </w:tc>
      </w:tr>
      <w:tr w:rsidR="00E524FA" w:rsidRPr="00044D79" w:rsidTr="00E524FA">
        <w:trPr>
          <w:trHeight w:val="1763"/>
        </w:trPr>
        <w:tc>
          <w:tcPr>
            <w:tcW w:w="13680" w:type="dxa"/>
            <w:gridSpan w:val="7"/>
            <w:hideMark/>
          </w:tcPr>
          <w:p w:rsidR="00E524FA" w:rsidRPr="00E524FA" w:rsidRDefault="00E524FA" w:rsidP="00E524FA">
            <w:pPr>
              <w:spacing w:after="200"/>
              <w:rPr>
                <w:b/>
                <w:bCs/>
              </w:rPr>
            </w:pPr>
            <w:r w:rsidRPr="00E524FA">
              <w:rPr>
                <w:b/>
                <w:bCs/>
              </w:rPr>
              <w:t>Program Goals Linked to Department Mission, College Mission, and/or Institutional Strategic Plan (make linkage below):</w:t>
            </w:r>
          </w:p>
          <w:p w:rsidR="00E524FA" w:rsidRPr="00E524FA" w:rsidRDefault="00E524FA" w:rsidP="00E524FA">
            <w:pPr>
              <w:spacing w:after="200"/>
              <w:rPr>
                <w:b/>
                <w:bCs/>
              </w:rPr>
            </w:pPr>
            <w:r w:rsidRPr="00E524FA">
              <w:rPr>
                <w:b/>
                <w:bCs/>
              </w:rPr>
              <w:t xml:space="preserve">1. </w:t>
            </w:r>
          </w:p>
          <w:p w:rsidR="00E524FA" w:rsidRPr="00E524FA" w:rsidRDefault="00E524FA" w:rsidP="00E524FA">
            <w:pPr>
              <w:spacing w:after="200"/>
              <w:rPr>
                <w:b/>
                <w:bCs/>
              </w:rPr>
            </w:pPr>
            <w:r w:rsidRPr="00E524FA">
              <w:rPr>
                <w:b/>
                <w:bCs/>
              </w:rPr>
              <w:t>2.</w:t>
            </w:r>
          </w:p>
          <w:p w:rsidR="00E524FA" w:rsidRPr="00E524FA" w:rsidRDefault="00E524FA" w:rsidP="00E524FA">
            <w:pPr>
              <w:spacing w:after="200"/>
              <w:rPr>
                <w:b/>
                <w:bCs/>
              </w:rPr>
            </w:pPr>
            <w:r w:rsidRPr="00E524FA">
              <w:rPr>
                <w:b/>
                <w:bCs/>
              </w:rPr>
              <w:t xml:space="preserve">3. </w:t>
            </w:r>
          </w:p>
          <w:p w:rsidR="00E524FA" w:rsidRPr="00E524FA" w:rsidRDefault="00E524FA" w:rsidP="00E524FA">
            <w:pPr>
              <w:spacing w:after="200"/>
              <w:rPr>
                <w:b/>
                <w:bCs/>
              </w:rPr>
            </w:pPr>
            <w:r w:rsidRPr="00E524FA">
              <w:rPr>
                <w:b/>
                <w:bCs/>
              </w:rPr>
              <w:t xml:space="preserve">4. </w:t>
            </w:r>
          </w:p>
        </w:tc>
      </w:tr>
      <w:tr w:rsidR="00E524FA" w:rsidRPr="00044D79" w:rsidTr="00E524FA">
        <w:trPr>
          <w:trHeight w:val="466"/>
        </w:trPr>
        <w:tc>
          <w:tcPr>
            <w:tcW w:w="13680" w:type="dxa"/>
            <w:gridSpan w:val="7"/>
            <w:hideMark/>
          </w:tcPr>
          <w:p w:rsidR="00E524FA" w:rsidRPr="00E524FA" w:rsidRDefault="00E524FA" w:rsidP="005E12C6">
            <w:pPr>
              <w:spacing w:after="200"/>
              <w:rPr>
                <w:b/>
                <w:bCs/>
              </w:rPr>
            </w:pPr>
            <w:r w:rsidRPr="00E524FA">
              <w:rPr>
                <w:b/>
                <w:bCs/>
              </w:rPr>
              <w:t>Year 201</w:t>
            </w:r>
            <w:r w:rsidR="005E12C6">
              <w:rPr>
                <w:b/>
                <w:bCs/>
              </w:rPr>
              <w:t>6</w:t>
            </w:r>
            <w:r w:rsidRPr="00E524FA">
              <w:rPr>
                <w:b/>
                <w:bCs/>
              </w:rPr>
              <w:t>-201</w:t>
            </w:r>
            <w:r w:rsidR="005E12C6">
              <w:rPr>
                <w:b/>
                <w:bCs/>
              </w:rPr>
              <w:t>7</w:t>
            </w:r>
          </w:p>
        </w:tc>
      </w:tr>
      <w:tr w:rsidR="00E524FA" w:rsidRPr="00044D79" w:rsidTr="00E524FA">
        <w:trPr>
          <w:trHeight w:val="1145"/>
        </w:trPr>
        <w:tc>
          <w:tcPr>
            <w:tcW w:w="5580" w:type="dxa"/>
            <w:gridSpan w:val="3"/>
            <w:hideMark/>
          </w:tcPr>
          <w:p w:rsidR="00E524FA" w:rsidRPr="00E524FA" w:rsidRDefault="00E524FA" w:rsidP="00E524FA">
            <w:pPr>
              <w:spacing w:after="200"/>
              <w:jc w:val="center"/>
              <w:rPr>
                <w:b/>
                <w:bCs/>
              </w:rPr>
            </w:pPr>
            <w:r w:rsidRPr="00E524FA">
              <w:rPr>
                <w:b/>
                <w:bCs/>
              </w:rPr>
              <w:t>Assessment Plan 201</w:t>
            </w:r>
            <w:r w:rsidR="005E12C6">
              <w:rPr>
                <w:b/>
                <w:bCs/>
              </w:rPr>
              <w:t>6</w:t>
            </w:r>
            <w:r w:rsidRPr="00E524FA">
              <w:rPr>
                <w:b/>
                <w:bCs/>
              </w:rPr>
              <w:t>-1</w:t>
            </w:r>
            <w:r w:rsidR="005E12C6">
              <w:rPr>
                <w:b/>
                <w:bCs/>
              </w:rPr>
              <w:t>7</w:t>
            </w:r>
          </w:p>
          <w:p w:rsidR="00E524FA" w:rsidRPr="00E524FA" w:rsidRDefault="00E524FA" w:rsidP="005E12C6">
            <w:pPr>
              <w:spacing w:after="200"/>
              <w:jc w:val="center"/>
              <w:rPr>
                <w:b/>
                <w:bCs/>
              </w:rPr>
            </w:pPr>
            <w:r w:rsidRPr="00E524FA">
              <w:rPr>
                <w:b/>
                <w:bCs/>
                <w:i/>
                <w:iCs/>
              </w:rPr>
              <w:t>To Be Completed By June 1</w:t>
            </w:r>
            <w:r w:rsidR="005E12C6">
              <w:rPr>
                <w:b/>
                <w:bCs/>
                <w:i/>
                <w:iCs/>
              </w:rPr>
              <w:t>0</w:t>
            </w:r>
            <w:r w:rsidRPr="00E524FA">
              <w:rPr>
                <w:b/>
                <w:bCs/>
                <w:i/>
                <w:iCs/>
              </w:rPr>
              <w:t>, 201</w:t>
            </w:r>
            <w:r w:rsidR="005E12C6">
              <w:rPr>
                <w:b/>
                <w:bCs/>
                <w:i/>
                <w:iCs/>
              </w:rPr>
              <w:t>6</w:t>
            </w:r>
          </w:p>
        </w:tc>
        <w:tc>
          <w:tcPr>
            <w:tcW w:w="8100" w:type="dxa"/>
            <w:gridSpan w:val="4"/>
            <w:hideMark/>
          </w:tcPr>
          <w:p w:rsidR="00E524FA" w:rsidRPr="00E524FA" w:rsidRDefault="00C01317" w:rsidP="00E524FA">
            <w:pPr>
              <w:spacing w:after="200"/>
              <w:jc w:val="center"/>
              <w:rPr>
                <w:b/>
                <w:bCs/>
              </w:rPr>
            </w:pPr>
            <w:r>
              <w:rPr>
                <w:b/>
                <w:bCs/>
              </w:rPr>
              <w:t>Assessment Report on 201</w:t>
            </w:r>
            <w:r w:rsidR="005E12C6">
              <w:rPr>
                <w:b/>
                <w:bCs/>
              </w:rPr>
              <w:t>6</w:t>
            </w:r>
            <w:r>
              <w:rPr>
                <w:b/>
                <w:bCs/>
              </w:rPr>
              <w:t>-1</w:t>
            </w:r>
            <w:r w:rsidR="005E12C6">
              <w:rPr>
                <w:b/>
                <w:bCs/>
              </w:rPr>
              <w:t>7</w:t>
            </w:r>
            <w:r w:rsidR="00E524FA" w:rsidRPr="00E524FA">
              <w:rPr>
                <w:b/>
                <w:bCs/>
              </w:rPr>
              <w:t xml:space="preserve"> Plan</w:t>
            </w:r>
          </w:p>
          <w:p w:rsidR="00E524FA" w:rsidRPr="00E524FA" w:rsidRDefault="00E524FA" w:rsidP="005E12C6">
            <w:pPr>
              <w:spacing w:after="200"/>
              <w:jc w:val="center"/>
              <w:rPr>
                <w:b/>
                <w:bCs/>
              </w:rPr>
            </w:pPr>
            <w:r w:rsidRPr="00E524FA">
              <w:rPr>
                <w:b/>
                <w:bCs/>
                <w:i/>
                <w:iCs/>
              </w:rPr>
              <w:t>To Be Completed By June 201</w:t>
            </w:r>
            <w:r w:rsidR="005E12C6">
              <w:rPr>
                <w:b/>
                <w:bCs/>
                <w:i/>
                <w:iCs/>
              </w:rPr>
              <w:t>7</w:t>
            </w:r>
            <w:r w:rsidRPr="00E524FA">
              <w:rPr>
                <w:b/>
                <w:bCs/>
                <w:i/>
                <w:iCs/>
              </w:rPr>
              <w:t xml:space="preserve"> </w:t>
            </w:r>
          </w:p>
        </w:tc>
      </w:tr>
      <w:tr w:rsidR="00E524FA" w:rsidRPr="00044D79" w:rsidTr="00F03A46">
        <w:trPr>
          <w:trHeight w:val="5226"/>
        </w:trPr>
        <w:tc>
          <w:tcPr>
            <w:tcW w:w="1880" w:type="dxa"/>
            <w:hideMark/>
          </w:tcPr>
          <w:p w:rsidR="00E524FA" w:rsidRPr="00E524FA" w:rsidRDefault="00E524FA" w:rsidP="00E524FA">
            <w:pPr>
              <w:spacing w:after="200"/>
              <w:jc w:val="center"/>
              <w:rPr>
                <w:b/>
                <w:bCs/>
              </w:rPr>
            </w:pPr>
            <w:r w:rsidRPr="00E524FA">
              <w:rPr>
                <w:b/>
                <w:bCs/>
              </w:rPr>
              <w:t>Goal Number and Description of Objective (intended outcomes)</w:t>
            </w:r>
          </w:p>
        </w:tc>
        <w:tc>
          <w:tcPr>
            <w:tcW w:w="2120" w:type="dxa"/>
            <w:hideMark/>
          </w:tcPr>
          <w:p w:rsidR="00E524FA" w:rsidRPr="00E524FA" w:rsidRDefault="00E524FA" w:rsidP="00E524FA">
            <w:pPr>
              <w:spacing w:after="200"/>
              <w:jc w:val="center"/>
              <w:rPr>
                <w:b/>
                <w:bCs/>
              </w:rPr>
            </w:pPr>
            <w:r w:rsidRPr="00E524FA">
              <w:rPr>
                <w:b/>
                <w:bCs/>
              </w:rPr>
              <w:t>Effectiveness Indicators  (what will be measured)</w:t>
            </w:r>
          </w:p>
        </w:tc>
        <w:tc>
          <w:tcPr>
            <w:tcW w:w="1580" w:type="dxa"/>
            <w:hideMark/>
          </w:tcPr>
          <w:p w:rsidR="00E524FA" w:rsidRPr="00E524FA" w:rsidRDefault="00E524FA" w:rsidP="00E524FA">
            <w:pPr>
              <w:spacing w:after="200"/>
              <w:jc w:val="center"/>
              <w:rPr>
                <w:b/>
                <w:bCs/>
              </w:rPr>
            </w:pPr>
            <w:r w:rsidRPr="00E524FA">
              <w:rPr>
                <w:b/>
                <w:bCs/>
              </w:rPr>
              <w:t xml:space="preserve">Success Criteria </w:t>
            </w:r>
          </w:p>
        </w:tc>
        <w:tc>
          <w:tcPr>
            <w:tcW w:w="1860" w:type="dxa"/>
            <w:hideMark/>
          </w:tcPr>
          <w:p w:rsidR="00E524FA" w:rsidRPr="00E524FA" w:rsidRDefault="00E524FA" w:rsidP="00E524FA">
            <w:pPr>
              <w:spacing w:after="200"/>
              <w:jc w:val="center"/>
              <w:rPr>
                <w:b/>
                <w:bCs/>
              </w:rPr>
            </w:pPr>
            <w:r w:rsidRPr="00E524FA">
              <w:rPr>
                <w:b/>
                <w:bCs/>
              </w:rPr>
              <w:t xml:space="preserve">Data Collection and Analysis Procedures </w:t>
            </w:r>
          </w:p>
        </w:tc>
        <w:tc>
          <w:tcPr>
            <w:tcW w:w="1740" w:type="dxa"/>
            <w:hideMark/>
          </w:tcPr>
          <w:p w:rsidR="00E524FA" w:rsidRPr="00E524FA" w:rsidRDefault="00E524FA" w:rsidP="00E524FA">
            <w:pPr>
              <w:spacing w:after="200"/>
              <w:jc w:val="center"/>
              <w:rPr>
                <w:b/>
                <w:bCs/>
              </w:rPr>
            </w:pPr>
            <w:r w:rsidRPr="00E524FA">
              <w:rPr>
                <w:b/>
                <w:bCs/>
              </w:rPr>
              <w:t xml:space="preserve">Outcomes </w:t>
            </w:r>
          </w:p>
        </w:tc>
        <w:tc>
          <w:tcPr>
            <w:tcW w:w="1560" w:type="dxa"/>
            <w:hideMark/>
          </w:tcPr>
          <w:p w:rsidR="00E524FA" w:rsidRPr="00E524FA" w:rsidRDefault="00E524FA" w:rsidP="00E524FA">
            <w:pPr>
              <w:spacing w:after="200"/>
              <w:jc w:val="center"/>
              <w:rPr>
                <w:b/>
                <w:bCs/>
              </w:rPr>
            </w:pPr>
            <w:r w:rsidRPr="00E524FA">
              <w:rPr>
                <w:b/>
                <w:bCs/>
              </w:rPr>
              <w:t xml:space="preserve">Review of Results </w:t>
            </w:r>
          </w:p>
        </w:tc>
        <w:tc>
          <w:tcPr>
            <w:tcW w:w="2940" w:type="dxa"/>
            <w:hideMark/>
          </w:tcPr>
          <w:p w:rsidR="00E524FA" w:rsidRPr="00E524FA" w:rsidRDefault="00E524FA" w:rsidP="00E524FA">
            <w:pPr>
              <w:spacing w:after="200"/>
              <w:jc w:val="center"/>
              <w:rPr>
                <w:b/>
                <w:bCs/>
              </w:rPr>
            </w:pPr>
            <w:r w:rsidRPr="00E524FA">
              <w:rPr>
                <w:b/>
                <w:bCs/>
              </w:rPr>
              <w:t xml:space="preserve">Utilization of Results </w:t>
            </w:r>
          </w:p>
        </w:tc>
      </w:tr>
    </w:tbl>
    <w:p w:rsidR="00205966" w:rsidRDefault="00205966" w:rsidP="00095AAB">
      <w:pPr>
        <w:sectPr w:rsidR="00205966" w:rsidSect="000B36C6">
          <w:pgSz w:w="15840" w:h="12240" w:orient="landscape"/>
          <w:pgMar w:top="720" w:right="720" w:bottom="720" w:left="720" w:header="720" w:footer="720" w:gutter="0"/>
          <w:cols w:space="720"/>
          <w:docGrid w:linePitch="360"/>
        </w:sectPr>
      </w:pPr>
    </w:p>
    <w:p w:rsidR="000B766B" w:rsidRDefault="000B766B" w:rsidP="000B766B">
      <w:pPr>
        <w:outlineLvl w:val="1"/>
        <w:rPr>
          <w:rStyle w:val="A3"/>
        </w:rPr>
      </w:pPr>
      <w:r>
        <w:rPr>
          <w:b/>
          <w:bCs/>
          <w:sz w:val="36"/>
          <w:szCs w:val="36"/>
        </w:rPr>
        <w:lastRenderedPageBreak/>
        <w:t xml:space="preserve">Campus </w:t>
      </w:r>
      <w:r w:rsidR="00205966" w:rsidRPr="007700EA">
        <w:rPr>
          <w:b/>
          <w:bCs/>
          <w:sz w:val="36"/>
          <w:szCs w:val="36"/>
        </w:rPr>
        <w:t xml:space="preserve">Plan </w:t>
      </w:r>
      <w:r>
        <w:rPr>
          <w:b/>
          <w:bCs/>
          <w:sz w:val="36"/>
          <w:szCs w:val="36"/>
        </w:rPr>
        <w:t>Goals and Objectives</w:t>
      </w:r>
      <w:r w:rsidR="00205966" w:rsidRPr="007700EA">
        <w:rPr>
          <w:b/>
          <w:bCs/>
          <w:sz w:val="36"/>
          <w:szCs w:val="36"/>
        </w:rPr>
        <w:t xml:space="preserve"> (20</w:t>
      </w:r>
      <w:r>
        <w:rPr>
          <w:b/>
          <w:bCs/>
          <w:sz w:val="36"/>
          <w:szCs w:val="36"/>
        </w:rPr>
        <w:t>13-2018</w:t>
      </w:r>
      <w:r w:rsidR="00205966" w:rsidRPr="007700EA">
        <w:rPr>
          <w:b/>
          <w:bCs/>
          <w:sz w:val="36"/>
          <w:szCs w:val="36"/>
        </w:rPr>
        <w:t>)</w:t>
      </w:r>
      <w:r w:rsidR="00205966">
        <w:rPr>
          <w:b/>
          <w:bCs/>
          <w:sz w:val="36"/>
          <w:szCs w:val="36"/>
        </w:rPr>
        <w:br/>
      </w:r>
    </w:p>
    <w:p w:rsidR="000B766B" w:rsidRPr="00614235" w:rsidRDefault="000B766B" w:rsidP="000B766B">
      <w:pPr>
        <w:outlineLvl w:val="1"/>
        <w:rPr>
          <w:color w:val="000000"/>
          <w:sz w:val="28"/>
          <w:szCs w:val="28"/>
        </w:rPr>
      </w:pPr>
      <w:r w:rsidRPr="00614235">
        <w:rPr>
          <w:rStyle w:val="A3"/>
        </w:rPr>
        <w:t>Strengthen the Support for Student Success</w:t>
      </w:r>
    </w:p>
    <w:p w:rsidR="000B766B" w:rsidRDefault="000B766B" w:rsidP="000B766B">
      <w:pPr>
        <w:pStyle w:val="Pa0"/>
        <w:rPr>
          <w:rFonts w:ascii="Times New Roman" w:hAnsi="Times New Roman"/>
          <w:color w:val="000000"/>
          <w:sz w:val="23"/>
          <w:szCs w:val="23"/>
        </w:rPr>
      </w:pPr>
    </w:p>
    <w:p w:rsidR="000B766B" w:rsidRPr="00614235" w:rsidRDefault="000B766B" w:rsidP="000B766B">
      <w:pPr>
        <w:pStyle w:val="Pa0"/>
        <w:rPr>
          <w:rFonts w:ascii="Times New Roman" w:hAnsi="Times New Roman"/>
          <w:color w:val="000000"/>
          <w:sz w:val="23"/>
          <w:szCs w:val="23"/>
        </w:rPr>
      </w:pPr>
      <w:r w:rsidRPr="00614235">
        <w:rPr>
          <w:rFonts w:ascii="Times New Roman" w:hAnsi="Times New Roman"/>
          <w:color w:val="000000"/>
          <w:sz w:val="23"/>
          <w:szCs w:val="23"/>
        </w:rPr>
        <w:t>Student success is core to the mission of SUNY Plattsburgh, where success is understood in a comprehensive sense, as involving academic preparation as well as preparation for life and work. We will demonstrate to students, their parents, and the public that the educational expe</w:t>
      </w:r>
      <w:r w:rsidRPr="00614235">
        <w:rPr>
          <w:rFonts w:ascii="Times New Roman" w:hAnsi="Times New Roman"/>
          <w:color w:val="000000"/>
          <w:sz w:val="23"/>
          <w:szCs w:val="23"/>
        </w:rPr>
        <w:softHyphen/>
        <w:t xml:space="preserve">rience on our campus is one that strongly supports that success. </w:t>
      </w:r>
    </w:p>
    <w:p w:rsidR="000B766B" w:rsidRPr="00614235" w:rsidRDefault="000B766B" w:rsidP="000B766B">
      <w:pPr>
        <w:pStyle w:val="Pa0"/>
        <w:rPr>
          <w:rFonts w:ascii="Times New Roman" w:hAnsi="Times New Roman"/>
          <w:color w:val="000000"/>
          <w:sz w:val="23"/>
          <w:szCs w:val="23"/>
        </w:rPr>
      </w:pPr>
      <w:r w:rsidRPr="00614235">
        <w:rPr>
          <w:rFonts w:ascii="Times New Roman" w:hAnsi="Times New Roman"/>
          <w:color w:val="000000"/>
          <w:sz w:val="23"/>
          <w:szCs w:val="23"/>
        </w:rPr>
        <w:t>To this end, SUNY Plattsburgh will:</w:t>
      </w:r>
    </w:p>
    <w:p w:rsidR="000B766B" w:rsidRPr="00614235" w:rsidRDefault="000B766B" w:rsidP="000B766B">
      <w:pPr>
        <w:pStyle w:val="Pa2"/>
        <w:ind w:left="360"/>
        <w:rPr>
          <w:rFonts w:ascii="Times New Roman" w:hAnsi="Times New Roman"/>
          <w:color w:val="000000"/>
          <w:sz w:val="23"/>
          <w:szCs w:val="23"/>
        </w:rPr>
      </w:pPr>
      <w:r w:rsidRPr="00614235">
        <w:rPr>
          <w:rFonts w:ascii="Times New Roman" w:hAnsi="Times New Roman"/>
          <w:color w:val="000000"/>
          <w:sz w:val="23"/>
          <w:szCs w:val="23"/>
        </w:rPr>
        <w:t>• make organizational changes that integrate academic programs, student services, advising, student life, career development, and other relevant departments, in order to provide better support for student success;</w:t>
      </w:r>
    </w:p>
    <w:p w:rsidR="000B766B" w:rsidRPr="00614235" w:rsidRDefault="000B766B" w:rsidP="000B766B">
      <w:pPr>
        <w:pStyle w:val="Pa2"/>
        <w:ind w:left="360"/>
        <w:rPr>
          <w:rFonts w:ascii="Times New Roman" w:hAnsi="Times New Roman"/>
          <w:color w:val="000000"/>
          <w:sz w:val="23"/>
          <w:szCs w:val="23"/>
        </w:rPr>
      </w:pPr>
      <w:r w:rsidRPr="00614235">
        <w:rPr>
          <w:rFonts w:ascii="Times New Roman" w:hAnsi="Times New Roman"/>
          <w:color w:val="000000"/>
          <w:sz w:val="23"/>
          <w:szCs w:val="23"/>
        </w:rPr>
        <w:t>• revise the General Education program in a manner that best realizes the fundamental learn</w:t>
      </w:r>
      <w:r w:rsidRPr="00614235">
        <w:rPr>
          <w:rFonts w:ascii="Times New Roman" w:hAnsi="Times New Roman"/>
          <w:color w:val="000000"/>
          <w:sz w:val="23"/>
          <w:szCs w:val="23"/>
        </w:rPr>
        <w:softHyphen/>
        <w:t>ing outcomes critical to an educated person, and improves the methods of assessing that learning; and</w:t>
      </w:r>
    </w:p>
    <w:p w:rsidR="000B766B" w:rsidRPr="00614235" w:rsidRDefault="000B766B" w:rsidP="000B766B">
      <w:pPr>
        <w:pStyle w:val="Pa2"/>
        <w:ind w:left="360"/>
        <w:rPr>
          <w:rFonts w:ascii="Times New Roman" w:hAnsi="Times New Roman"/>
          <w:color w:val="000000"/>
          <w:sz w:val="23"/>
          <w:szCs w:val="23"/>
        </w:rPr>
      </w:pPr>
      <w:r w:rsidRPr="00614235">
        <w:rPr>
          <w:rFonts w:ascii="Times New Roman" w:hAnsi="Times New Roman"/>
          <w:color w:val="000000"/>
          <w:sz w:val="23"/>
          <w:szCs w:val="23"/>
        </w:rPr>
        <w:t xml:space="preserve">• create a more intentional and deliberative process for undergraduate and graduate course and program development that is attuned to academic goals, student demand, employment opportunities, and societal needs. </w:t>
      </w:r>
    </w:p>
    <w:p w:rsidR="000B766B" w:rsidRPr="00614235" w:rsidRDefault="000B766B" w:rsidP="000B766B"/>
    <w:p w:rsidR="000B766B" w:rsidRPr="00614235" w:rsidRDefault="000B766B" w:rsidP="000B766B">
      <w:pPr>
        <w:pStyle w:val="Pa0"/>
        <w:rPr>
          <w:rFonts w:ascii="Times New Roman" w:hAnsi="Times New Roman"/>
          <w:color w:val="000000"/>
          <w:sz w:val="28"/>
          <w:szCs w:val="28"/>
        </w:rPr>
      </w:pPr>
      <w:r w:rsidRPr="00614235">
        <w:rPr>
          <w:rStyle w:val="A3"/>
          <w:rFonts w:ascii="Times New Roman" w:hAnsi="Times New Roman"/>
        </w:rPr>
        <w:t>Promote Teaching Excellence</w:t>
      </w:r>
    </w:p>
    <w:p w:rsidR="000B766B" w:rsidRDefault="000B766B" w:rsidP="000B766B">
      <w:pPr>
        <w:pStyle w:val="Pa0"/>
        <w:rPr>
          <w:rFonts w:ascii="Times New Roman" w:hAnsi="Times New Roman"/>
          <w:color w:val="000000"/>
          <w:sz w:val="23"/>
          <w:szCs w:val="23"/>
        </w:rPr>
      </w:pPr>
    </w:p>
    <w:p w:rsidR="000B766B" w:rsidRPr="00614235" w:rsidRDefault="000B766B" w:rsidP="000B766B">
      <w:pPr>
        <w:pStyle w:val="Pa0"/>
        <w:rPr>
          <w:rFonts w:ascii="Times New Roman" w:hAnsi="Times New Roman"/>
          <w:color w:val="000000"/>
          <w:sz w:val="23"/>
          <w:szCs w:val="23"/>
        </w:rPr>
      </w:pPr>
      <w:r w:rsidRPr="00614235">
        <w:rPr>
          <w:rFonts w:ascii="Times New Roman" w:hAnsi="Times New Roman"/>
          <w:color w:val="000000"/>
          <w:sz w:val="23"/>
          <w:szCs w:val="23"/>
        </w:rPr>
        <w:t>Excellent teaching is essential to student success, and our faculty has always been committed to continuously improving our students’ learning experience through innovative pedagogy and implementation of best practices in both the traditional classroom room and online instruction. We value a comprehensive model of the teaching-learning relationship, which includes mentor</w:t>
      </w:r>
      <w:r w:rsidRPr="00614235">
        <w:rPr>
          <w:rFonts w:ascii="Times New Roman" w:hAnsi="Times New Roman"/>
          <w:color w:val="000000"/>
          <w:sz w:val="23"/>
          <w:szCs w:val="23"/>
        </w:rPr>
        <w:softHyphen/>
        <w:t>ship and advisement beyond the standard curriculum. In order to advance teaching excellence, we continually seek an understanding of how well our students are learning in courses and pro</w:t>
      </w:r>
      <w:r w:rsidRPr="00614235">
        <w:rPr>
          <w:rFonts w:ascii="Times New Roman" w:hAnsi="Times New Roman"/>
          <w:color w:val="000000"/>
          <w:sz w:val="23"/>
          <w:szCs w:val="23"/>
        </w:rPr>
        <w:softHyphen/>
        <w:t>grams and use that information to enhance our students’ academic success.</w:t>
      </w:r>
    </w:p>
    <w:p w:rsidR="000B766B" w:rsidRPr="00614235" w:rsidRDefault="000B766B" w:rsidP="000B766B">
      <w:pPr>
        <w:pStyle w:val="Pa0"/>
        <w:rPr>
          <w:rFonts w:ascii="Times New Roman" w:hAnsi="Times New Roman"/>
          <w:color w:val="000000"/>
          <w:sz w:val="23"/>
          <w:szCs w:val="23"/>
        </w:rPr>
      </w:pPr>
      <w:r w:rsidRPr="00614235">
        <w:rPr>
          <w:rFonts w:ascii="Times New Roman" w:hAnsi="Times New Roman"/>
          <w:color w:val="000000"/>
          <w:sz w:val="23"/>
          <w:szCs w:val="23"/>
        </w:rPr>
        <w:t>To this end, SUNY Plattsburgh will:</w:t>
      </w:r>
    </w:p>
    <w:p w:rsidR="000B766B" w:rsidRPr="00614235" w:rsidRDefault="000B766B" w:rsidP="000B766B">
      <w:pPr>
        <w:pStyle w:val="Pa2"/>
        <w:ind w:left="360"/>
        <w:rPr>
          <w:rFonts w:ascii="Times New Roman" w:hAnsi="Times New Roman"/>
          <w:color w:val="000000"/>
          <w:sz w:val="23"/>
          <w:szCs w:val="23"/>
        </w:rPr>
      </w:pPr>
      <w:r w:rsidRPr="00614235">
        <w:rPr>
          <w:rFonts w:ascii="Times New Roman" w:hAnsi="Times New Roman"/>
          <w:color w:val="000000"/>
          <w:sz w:val="23"/>
          <w:szCs w:val="23"/>
        </w:rPr>
        <w:t>• identify ways to increase student-faculty-staff interactions and mentoring that are charac</w:t>
      </w:r>
      <w:r w:rsidRPr="00614235">
        <w:rPr>
          <w:rFonts w:ascii="Times New Roman" w:hAnsi="Times New Roman"/>
          <w:color w:val="000000"/>
          <w:sz w:val="23"/>
          <w:szCs w:val="23"/>
        </w:rPr>
        <w:softHyphen/>
        <w:t>teristic of the “Plattsburgh Experience;”</w:t>
      </w:r>
    </w:p>
    <w:p w:rsidR="000B766B" w:rsidRPr="00614235" w:rsidRDefault="000B766B" w:rsidP="000B766B">
      <w:pPr>
        <w:pStyle w:val="Pa2"/>
        <w:ind w:left="360"/>
        <w:rPr>
          <w:rFonts w:ascii="Times New Roman" w:hAnsi="Times New Roman"/>
          <w:color w:val="000000"/>
          <w:sz w:val="23"/>
          <w:szCs w:val="23"/>
        </w:rPr>
      </w:pPr>
      <w:r w:rsidRPr="00614235">
        <w:rPr>
          <w:rFonts w:ascii="Times New Roman" w:hAnsi="Times New Roman"/>
          <w:color w:val="000000"/>
          <w:sz w:val="23"/>
          <w:szCs w:val="23"/>
        </w:rPr>
        <w:t>• develop initiatives, projects, and programs that are designed to in</w:t>
      </w:r>
      <w:r w:rsidRPr="00614235">
        <w:rPr>
          <w:rFonts w:ascii="Times New Roman" w:hAnsi="Times New Roman"/>
          <w:color w:val="000000"/>
          <w:sz w:val="23"/>
          <w:szCs w:val="23"/>
        </w:rPr>
        <w:softHyphen/>
        <w:t>crease teaching effectiveness;</w:t>
      </w:r>
    </w:p>
    <w:p w:rsidR="000B766B" w:rsidRPr="00614235" w:rsidRDefault="000B766B" w:rsidP="000B766B">
      <w:pPr>
        <w:pStyle w:val="Pa2"/>
        <w:ind w:left="360"/>
        <w:rPr>
          <w:rFonts w:ascii="Times New Roman" w:hAnsi="Times New Roman"/>
          <w:color w:val="000000"/>
          <w:sz w:val="23"/>
          <w:szCs w:val="23"/>
        </w:rPr>
      </w:pPr>
      <w:r w:rsidRPr="00614235">
        <w:rPr>
          <w:rFonts w:ascii="Times New Roman" w:hAnsi="Times New Roman"/>
          <w:color w:val="000000"/>
          <w:sz w:val="23"/>
          <w:szCs w:val="23"/>
        </w:rPr>
        <w:t>• reward and celebrate excellent teaching and the Teacher-Scholar ideal;</w:t>
      </w:r>
    </w:p>
    <w:p w:rsidR="000B766B" w:rsidRPr="00614235" w:rsidRDefault="000B766B" w:rsidP="000B766B">
      <w:pPr>
        <w:pStyle w:val="Pa2"/>
        <w:ind w:left="360"/>
        <w:rPr>
          <w:rFonts w:ascii="Times New Roman" w:hAnsi="Times New Roman"/>
          <w:color w:val="000000"/>
          <w:sz w:val="23"/>
          <w:szCs w:val="23"/>
        </w:rPr>
      </w:pPr>
      <w:r w:rsidRPr="00614235">
        <w:rPr>
          <w:rFonts w:ascii="Times New Roman" w:hAnsi="Times New Roman"/>
          <w:color w:val="000000"/>
          <w:sz w:val="23"/>
          <w:szCs w:val="23"/>
        </w:rPr>
        <w:t>• invest in proven instructional technologies, and provide support for the pedagogies that are most effective for their use;</w:t>
      </w:r>
    </w:p>
    <w:p w:rsidR="000B766B" w:rsidRPr="00614235" w:rsidRDefault="000B766B" w:rsidP="000B766B">
      <w:pPr>
        <w:pStyle w:val="Pa2"/>
        <w:ind w:left="360"/>
        <w:rPr>
          <w:rFonts w:ascii="Times New Roman" w:hAnsi="Times New Roman"/>
          <w:color w:val="000000"/>
          <w:sz w:val="23"/>
          <w:szCs w:val="23"/>
        </w:rPr>
      </w:pPr>
      <w:r w:rsidRPr="00614235">
        <w:rPr>
          <w:rFonts w:ascii="Times New Roman" w:hAnsi="Times New Roman"/>
          <w:color w:val="000000"/>
          <w:sz w:val="23"/>
          <w:szCs w:val="23"/>
        </w:rPr>
        <w:t xml:space="preserve">• make changes to the campus environment that support more dialogue, inquiry, writing and creative expression that enhance the intellectual life of the college; and </w:t>
      </w:r>
    </w:p>
    <w:p w:rsidR="000B766B" w:rsidRPr="00614235" w:rsidRDefault="000B766B" w:rsidP="000B766B">
      <w:pPr>
        <w:pStyle w:val="Pa2"/>
        <w:ind w:left="360"/>
        <w:rPr>
          <w:rFonts w:ascii="Times New Roman" w:hAnsi="Times New Roman"/>
          <w:color w:val="000000"/>
          <w:sz w:val="23"/>
          <w:szCs w:val="23"/>
        </w:rPr>
      </w:pPr>
      <w:r w:rsidRPr="00614235">
        <w:rPr>
          <w:rFonts w:ascii="Times New Roman" w:hAnsi="Times New Roman"/>
          <w:color w:val="000000"/>
          <w:sz w:val="23"/>
          <w:szCs w:val="23"/>
        </w:rPr>
        <w:t xml:space="preserve">• improve data and data collection processes for assessment of student learning outcomes, and use the results more intentionally to improve instruction and curriculum design. </w:t>
      </w:r>
    </w:p>
    <w:p w:rsidR="000B766B" w:rsidRPr="00614235" w:rsidRDefault="000B766B" w:rsidP="000B766B"/>
    <w:p w:rsidR="000B766B" w:rsidRPr="00614235" w:rsidRDefault="000B766B" w:rsidP="000B766B">
      <w:pPr>
        <w:pStyle w:val="Pa0"/>
        <w:rPr>
          <w:rFonts w:ascii="Times New Roman" w:hAnsi="Times New Roman"/>
          <w:color w:val="000000"/>
          <w:sz w:val="28"/>
          <w:szCs w:val="28"/>
        </w:rPr>
      </w:pPr>
      <w:r w:rsidRPr="00614235">
        <w:rPr>
          <w:rStyle w:val="A3"/>
          <w:rFonts w:ascii="Times New Roman" w:hAnsi="Times New Roman"/>
        </w:rPr>
        <w:t>Expand Opportunities for Experiential Learning</w:t>
      </w:r>
    </w:p>
    <w:p w:rsidR="000B766B" w:rsidRDefault="000B766B" w:rsidP="000B766B">
      <w:pPr>
        <w:pStyle w:val="Pa0"/>
        <w:rPr>
          <w:rFonts w:ascii="Times New Roman" w:hAnsi="Times New Roman"/>
          <w:color w:val="000000"/>
          <w:sz w:val="23"/>
          <w:szCs w:val="23"/>
        </w:rPr>
      </w:pPr>
    </w:p>
    <w:p w:rsidR="000B766B" w:rsidRPr="00614235" w:rsidRDefault="000B766B" w:rsidP="000B766B">
      <w:pPr>
        <w:pStyle w:val="Pa0"/>
        <w:rPr>
          <w:rFonts w:ascii="Times New Roman" w:hAnsi="Times New Roman"/>
          <w:color w:val="000000"/>
          <w:sz w:val="23"/>
          <w:szCs w:val="23"/>
        </w:rPr>
      </w:pPr>
      <w:r w:rsidRPr="00614235">
        <w:rPr>
          <w:rFonts w:ascii="Times New Roman" w:hAnsi="Times New Roman"/>
          <w:color w:val="000000"/>
          <w:sz w:val="23"/>
          <w:szCs w:val="23"/>
        </w:rPr>
        <w:t>Preparation for professional and personal success are key aspects of SUNY Plattsburgh’s mis</w:t>
      </w:r>
      <w:r w:rsidRPr="00614235">
        <w:rPr>
          <w:rFonts w:ascii="Times New Roman" w:hAnsi="Times New Roman"/>
          <w:color w:val="000000"/>
          <w:sz w:val="23"/>
          <w:szCs w:val="23"/>
        </w:rPr>
        <w:softHyphen/>
        <w:t>sion. To prepare students for their careers, and for citizenship in a globally connected world, it is important to provide them with relevant experiential learning. Experiential learning encour</w:t>
      </w:r>
      <w:r w:rsidRPr="00614235">
        <w:rPr>
          <w:rFonts w:ascii="Times New Roman" w:hAnsi="Times New Roman"/>
          <w:color w:val="000000"/>
          <w:sz w:val="23"/>
          <w:szCs w:val="23"/>
        </w:rPr>
        <w:softHyphen/>
        <w:t xml:space="preserve">ages a mutually beneficial, cooperative relationship between students and mentors through the following opportunities: internships and </w:t>
      </w:r>
      <w:proofErr w:type="spellStart"/>
      <w:r w:rsidRPr="00614235">
        <w:rPr>
          <w:rFonts w:ascii="Times New Roman" w:hAnsi="Times New Roman"/>
          <w:color w:val="000000"/>
          <w:sz w:val="23"/>
          <w:szCs w:val="23"/>
        </w:rPr>
        <w:t>practica</w:t>
      </w:r>
      <w:proofErr w:type="spellEnd"/>
      <w:r w:rsidRPr="00614235">
        <w:rPr>
          <w:rFonts w:ascii="Times New Roman" w:hAnsi="Times New Roman"/>
          <w:color w:val="000000"/>
          <w:sz w:val="23"/>
          <w:szCs w:val="23"/>
        </w:rPr>
        <w:t>; research opportunities with faculty; artistic and cultural exhibitions and performances; clinically rich experiences; scientific and social fieldwork; study abroad programs; campus employment; service/volunteer programs; student campus leadership opportunities and related experiences.</w:t>
      </w:r>
    </w:p>
    <w:p w:rsidR="000B766B" w:rsidRPr="00614235" w:rsidRDefault="000B766B" w:rsidP="000B766B">
      <w:pPr>
        <w:pStyle w:val="Pa0"/>
        <w:pageBreakBefore/>
        <w:rPr>
          <w:rFonts w:ascii="Times New Roman" w:hAnsi="Times New Roman"/>
          <w:color w:val="000000"/>
          <w:sz w:val="23"/>
          <w:szCs w:val="23"/>
        </w:rPr>
      </w:pPr>
      <w:r w:rsidRPr="00614235">
        <w:rPr>
          <w:rFonts w:ascii="Times New Roman" w:hAnsi="Times New Roman"/>
          <w:color w:val="000000"/>
          <w:sz w:val="23"/>
          <w:szCs w:val="23"/>
        </w:rPr>
        <w:lastRenderedPageBreak/>
        <w:t>To this end, we SUNY Plattsburgh will:</w:t>
      </w:r>
    </w:p>
    <w:p w:rsidR="000B766B" w:rsidRPr="00614235" w:rsidRDefault="000B766B" w:rsidP="000B766B">
      <w:pPr>
        <w:pStyle w:val="Pa3"/>
        <w:ind w:left="440"/>
        <w:rPr>
          <w:rFonts w:ascii="Times New Roman" w:hAnsi="Times New Roman"/>
          <w:color w:val="000000"/>
          <w:sz w:val="23"/>
          <w:szCs w:val="23"/>
        </w:rPr>
      </w:pPr>
      <w:r w:rsidRPr="00614235">
        <w:rPr>
          <w:rFonts w:ascii="Times New Roman" w:hAnsi="Times New Roman"/>
          <w:color w:val="000000"/>
          <w:sz w:val="23"/>
          <w:szCs w:val="23"/>
        </w:rPr>
        <w:t>• expand experiential learning opportunities in the region, the state, the country, and internationally;</w:t>
      </w:r>
    </w:p>
    <w:p w:rsidR="000B766B" w:rsidRPr="00614235" w:rsidRDefault="000B766B" w:rsidP="000B766B">
      <w:pPr>
        <w:pStyle w:val="Pa3"/>
        <w:ind w:left="440"/>
        <w:rPr>
          <w:rFonts w:ascii="Times New Roman" w:hAnsi="Times New Roman"/>
          <w:color w:val="000000"/>
          <w:sz w:val="23"/>
          <w:szCs w:val="23"/>
        </w:rPr>
      </w:pPr>
      <w:r w:rsidRPr="00614235">
        <w:rPr>
          <w:rFonts w:ascii="Times New Roman" w:hAnsi="Times New Roman"/>
          <w:color w:val="000000"/>
          <w:sz w:val="23"/>
          <w:szCs w:val="23"/>
        </w:rPr>
        <w:t>• promote collaboration among career development personnel, academic divisions and departments in order to strengthen experiential learning opportunities and leadership roles for students;</w:t>
      </w:r>
    </w:p>
    <w:p w:rsidR="000B766B" w:rsidRPr="00614235" w:rsidRDefault="000B766B" w:rsidP="000B766B">
      <w:pPr>
        <w:pStyle w:val="Pa3"/>
        <w:ind w:left="440"/>
        <w:rPr>
          <w:rFonts w:ascii="Times New Roman" w:hAnsi="Times New Roman"/>
          <w:color w:val="000000"/>
          <w:sz w:val="23"/>
          <w:szCs w:val="23"/>
        </w:rPr>
      </w:pPr>
      <w:r w:rsidRPr="00614235">
        <w:rPr>
          <w:rFonts w:ascii="Times New Roman" w:hAnsi="Times New Roman"/>
          <w:color w:val="000000"/>
          <w:sz w:val="23"/>
          <w:szCs w:val="23"/>
        </w:rPr>
        <w:t>• promote collaboration among career development personnel, departments, and alumni services to better incorporate alumni in the experiential learning process;</w:t>
      </w:r>
    </w:p>
    <w:p w:rsidR="000B766B" w:rsidRPr="00614235" w:rsidRDefault="000B766B" w:rsidP="000B766B">
      <w:pPr>
        <w:pStyle w:val="Pa3"/>
        <w:ind w:left="440"/>
        <w:rPr>
          <w:rFonts w:ascii="Times New Roman" w:hAnsi="Times New Roman"/>
          <w:color w:val="000000"/>
          <w:sz w:val="23"/>
          <w:szCs w:val="23"/>
        </w:rPr>
      </w:pPr>
      <w:r w:rsidRPr="00614235">
        <w:rPr>
          <w:rFonts w:ascii="Times New Roman" w:hAnsi="Times New Roman"/>
          <w:color w:val="000000"/>
          <w:sz w:val="23"/>
          <w:szCs w:val="23"/>
        </w:rPr>
        <w:t xml:space="preserve">• </w:t>
      </w:r>
      <w:proofErr w:type="gramStart"/>
      <w:r w:rsidRPr="00614235">
        <w:rPr>
          <w:rFonts w:ascii="Times New Roman" w:hAnsi="Times New Roman"/>
          <w:color w:val="000000"/>
          <w:sz w:val="23"/>
          <w:szCs w:val="23"/>
        </w:rPr>
        <w:t>support</w:t>
      </w:r>
      <w:proofErr w:type="gramEnd"/>
      <w:r w:rsidRPr="00614235">
        <w:rPr>
          <w:rFonts w:ascii="Times New Roman" w:hAnsi="Times New Roman"/>
          <w:color w:val="000000"/>
          <w:sz w:val="23"/>
          <w:szCs w:val="23"/>
        </w:rPr>
        <w:t xml:space="preserve"> continued student and faculty cooperation on research-related experiences; and</w:t>
      </w:r>
    </w:p>
    <w:p w:rsidR="000B766B" w:rsidRPr="00614235" w:rsidRDefault="000B766B" w:rsidP="000B766B">
      <w:pPr>
        <w:pStyle w:val="Pa3"/>
        <w:ind w:left="440"/>
        <w:rPr>
          <w:rFonts w:ascii="Times New Roman" w:hAnsi="Times New Roman"/>
          <w:color w:val="000000"/>
          <w:sz w:val="23"/>
          <w:szCs w:val="23"/>
        </w:rPr>
      </w:pPr>
      <w:r w:rsidRPr="00614235">
        <w:rPr>
          <w:rFonts w:ascii="Times New Roman" w:hAnsi="Times New Roman"/>
          <w:color w:val="000000"/>
          <w:sz w:val="23"/>
          <w:szCs w:val="23"/>
        </w:rPr>
        <w:t xml:space="preserve">• investigate means to officially document the experiential learning experiences of students. </w:t>
      </w:r>
    </w:p>
    <w:p w:rsidR="000B766B" w:rsidRPr="00614235" w:rsidRDefault="000B766B" w:rsidP="000B766B"/>
    <w:p w:rsidR="000B766B" w:rsidRPr="00614235" w:rsidRDefault="000B766B" w:rsidP="000B766B">
      <w:pPr>
        <w:pStyle w:val="Pa0"/>
        <w:rPr>
          <w:rFonts w:ascii="Times New Roman" w:hAnsi="Times New Roman"/>
          <w:color w:val="000000"/>
          <w:sz w:val="28"/>
          <w:szCs w:val="28"/>
        </w:rPr>
      </w:pPr>
      <w:r w:rsidRPr="00614235">
        <w:rPr>
          <w:rStyle w:val="A3"/>
          <w:rFonts w:ascii="Times New Roman" w:hAnsi="Times New Roman"/>
        </w:rPr>
        <w:t>Increase Global Experiences and Multicultural Competencies</w:t>
      </w:r>
    </w:p>
    <w:p w:rsidR="000B766B" w:rsidRDefault="000B766B" w:rsidP="000B766B">
      <w:pPr>
        <w:pStyle w:val="Pa0"/>
        <w:rPr>
          <w:rFonts w:ascii="Times New Roman" w:hAnsi="Times New Roman"/>
          <w:color w:val="000000"/>
          <w:sz w:val="23"/>
          <w:szCs w:val="23"/>
        </w:rPr>
      </w:pPr>
    </w:p>
    <w:p w:rsidR="000B766B" w:rsidRPr="00614235" w:rsidRDefault="000B766B" w:rsidP="000B766B">
      <w:pPr>
        <w:pStyle w:val="Pa0"/>
        <w:rPr>
          <w:rFonts w:ascii="Times New Roman" w:hAnsi="Times New Roman"/>
          <w:color w:val="000000"/>
          <w:sz w:val="23"/>
          <w:szCs w:val="23"/>
        </w:rPr>
      </w:pPr>
      <w:r w:rsidRPr="00614235">
        <w:rPr>
          <w:rFonts w:ascii="Times New Roman" w:hAnsi="Times New Roman"/>
          <w:color w:val="000000"/>
          <w:sz w:val="23"/>
          <w:szCs w:val="23"/>
        </w:rPr>
        <w:t>An important part of student success is preparation to work and study in an increasingly diverse and globally connected world. We have an assortment of internationally focused academic programs, study abroad opportunities, and an excellent reputation for supporting international students. Plattsburgh is also a campus with a diverse student population. Together, these ad</w:t>
      </w:r>
      <w:r w:rsidRPr="00614235">
        <w:rPr>
          <w:rFonts w:ascii="Times New Roman" w:hAnsi="Times New Roman"/>
          <w:color w:val="000000"/>
          <w:sz w:val="23"/>
          <w:szCs w:val="23"/>
        </w:rPr>
        <w:softHyphen/>
        <w:t>vantages make Plattsburgh well positioned to be a leader in helping students develop multicul</w:t>
      </w:r>
      <w:r w:rsidRPr="00614235">
        <w:rPr>
          <w:rFonts w:ascii="Times New Roman" w:hAnsi="Times New Roman"/>
          <w:color w:val="000000"/>
          <w:sz w:val="23"/>
          <w:szCs w:val="23"/>
        </w:rPr>
        <w:softHyphen/>
        <w:t xml:space="preserve">tural competencies. </w:t>
      </w:r>
    </w:p>
    <w:p w:rsidR="000B766B" w:rsidRPr="00614235" w:rsidRDefault="000B766B" w:rsidP="000B766B">
      <w:pPr>
        <w:pStyle w:val="Pa0"/>
        <w:rPr>
          <w:rFonts w:ascii="Times New Roman" w:hAnsi="Times New Roman"/>
          <w:color w:val="000000"/>
          <w:sz w:val="23"/>
          <w:szCs w:val="23"/>
        </w:rPr>
      </w:pPr>
      <w:r w:rsidRPr="00614235">
        <w:rPr>
          <w:rFonts w:ascii="Times New Roman" w:hAnsi="Times New Roman"/>
          <w:color w:val="000000"/>
          <w:sz w:val="23"/>
          <w:szCs w:val="23"/>
        </w:rPr>
        <w:t>To this end, SUNY Plattsburgh will:</w:t>
      </w:r>
    </w:p>
    <w:p w:rsidR="000B766B" w:rsidRPr="00614235" w:rsidRDefault="000B766B" w:rsidP="000B766B">
      <w:pPr>
        <w:pStyle w:val="Pa4"/>
        <w:ind w:left="540"/>
        <w:rPr>
          <w:rFonts w:ascii="Times New Roman" w:hAnsi="Times New Roman"/>
          <w:color w:val="000000"/>
          <w:sz w:val="23"/>
          <w:szCs w:val="23"/>
        </w:rPr>
      </w:pPr>
      <w:r w:rsidRPr="00614235">
        <w:rPr>
          <w:rFonts w:ascii="Times New Roman" w:hAnsi="Times New Roman"/>
          <w:color w:val="000000"/>
          <w:sz w:val="23"/>
          <w:szCs w:val="23"/>
        </w:rPr>
        <w:t>• evaluate and refine our recruitment, enrollment and financial aid plans in order to promote and support a diverse campus community;</w:t>
      </w:r>
    </w:p>
    <w:p w:rsidR="000B766B" w:rsidRPr="00614235" w:rsidRDefault="000B766B" w:rsidP="000B766B">
      <w:pPr>
        <w:pStyle w:val="Pa4"/>
        <w:ind w:left="540"/>
        <w:rPr>
          <w:rFonts w:ascii="Times New Roman" w:hAnsi="Times New Roman"/>
          <w:color w:val="000000"/>
          <w:sz w:val="23"/>
          <w:szCs w:val="23"/>
        </w:rPr>
      </w:pPr>
      <w:r w:rsidRPr="00614235">
        <w:rPr>
          <w:rFonts w:ascii="Times New Roman" w:hAnsi="Times New Roman"/>
          <w:color w:val="000000"/>
          <w:sz w:val="23"/>
          <w:szCs w:val="23"/>
        </w:rPr>
        <w:t>• continue to build the variety of multicultural and global experiences for all students; and</w:t>
      </w:r>
    </w:p>
    <w:p w:rsidR="000B766B" w:rsidRPr="00614235" w:rsidRDefault="000B766B" w:rsidP="000B766B">
      <w:pPr>
        <w:pStyle w:val="Pa4"/>
        <w:ind w:left="540"/>
        <w:rPr>
          <w:rFonts w:ascii="Times New Roman" w:hAnsi="Times New Roman"/>
          <w:color w:val="000000"/>
          <w:sz w:val="23"/>
          <w:szCs w:val="23"/>
        </w:rPr>
      </w:pPr>
      <w:r w:rsidRPr="00614235">
        <w:rPr>
          <w:rFonts w:ascii="Times New Roman" w:hAnsi="Times New Roman"/>
          <w:color w:val="000000"/>
          <w:sz w:val="23"/>
          <w:szCs w:val="23"/>
        </w:rPr>
        <w:t xml:space="preserve">• encourage more curriculum development that emphasizes diversity, global issues, and multicultural competencies. </w:t>
      </w:r>
    </w:p>
    <w:p w:rsidR="000B766B" w:rsidRDefault="000B766B" w:rsidP="000B766B">
      <w:pPr>
        <w:pStyle w:val="Pa0"/>
        <w:rPr>
          <w:rStyle w:val="A3"/>
          <w:rFonts w:ascii="Times New Roman" w:hAnsi="Times New Roman"/>
        </w:rPr>
      </w:pPr>
    </w:p>
    <w:p w:rsidR="000B766B" w:rsidRPr="00614235" w:rsidRDefault="000B766B" w:rsidP="000B766B">
      <w:pPr>
        <w:pStyle w:val="Pa0"/>
        <w:rPr>
          <w:rStyle w:val="A3"/>
          <w:rFonts w:ascii="Times New Roman" w:hAnsi="Times New Roman"/>
        </w:rPr>
      </w:pPr>
      <w:r w:rsidRPr="00614235">
        <w:rPr>
          <w:rStyle w:val="A3"/>
          <w:rFonts w:ascii="Times New Roman" w:hAnsi="Times New Roman"/>
        </w:rPr>
        <w:t>Build Community Connections</w:t>
      </w:r>
    </w:p>
    <w:p w:rsidR="000B766B" w:rsidRPr="00614235" w:rsidRDefault="000B766B" w:rsidP="000B766B"/>
    <w:p w:rsidR="000B766B" w:rsidRPr="00614235" w:rsidRDefault="000B766B" w:rsidP="000B766B">
      <w:pPr>
        <w:pStyle w:val="Pa0"/>
        <w:rPr>
          <w:rFonts w:ascii="Times New Roman" w:hAnsi="Times New Roman"/>
          <w:color w:val="000000"/>
          <w:sz w:val="23"/>
          <w:szCs w:val="23"/>
        </w:rPr>
      </w:pPr>
      <w:r w:rsidRPr="00614235">
        <w:rPr>
          <w:rFonts w:ascii="Times New Roman" w:hAnsi="Times New Roman"/>
          <w:color w:val="000000"/>
          <w:sz w:val="23"/>
          <w:szCs w:val="23"/>
        </w:rPr>
        <w:t>Our students, faculty and staff are connected to a variety of communities—not only our cam</w:t>
      </w:r>
      <w:r w:rsidRPr="00614235">
        <w:rPr>
          <w:rFonts w:ascii="Times New Roman" w:hAnsi="Times New Roman"/>
          <w:color w:val="000000"/>
          <w:sz w:val="23"/>
          <w:szCs w:val="23"/>
        </w:rPr>
        <w:softHyphen/>
        <w:t>pus, but our alumni, our region, the natural environment, and the global community. Both stu</w:t>
      </w:r>
      <w:r w:rsidRPr="00614235">
        <w:rPr>
          <w:rFonts w:ascii="Times New Roman" w:hAnsi="Times New Roman"/>
          <w:color w:val="000000"/>
          <w:sz w:val="23"/>
          <w:szCs w:val="23"/>
        </w:rPr>
        <w:softHyphen/>
        <w:t xml:space="preserve">dents and employees alike have voiced a desire to enrich these connections, to break down silos, to enhance our dialogue and interaction, and to assist with the economic, civic, and physical health of our local and regional communities. </w:t>
      </w:r>
    </w:p>
    <w:p w:rsidR="000B766B" w:rsidRPr="00614235" w:rsidRDefault="000B766B" w:rsidP="000B766B">
      <w:pPr>
        <w:pStyle w:val="Pa0"/>
        <w:rPr>
          <w:rFonts w:ascii="Times New Roman" w:hAnsi="Times New Roman"/>
          <w:color w:val="000000"/>
          <w:sz w:val="23"/>
          <w:szCs w:val="23"/>
        </w:rPr>
      </w:pPr>
      <w:r w:rsidRPr="00614235">
        <w:rPr>
          <w:rFonts w:ascii="Times New Roman" w:hAnsi="Times New Roman"/>
          <w:color w:val="000000"/>
          <w:sz w:val="23"/>
          <w:szCs w:val="23"/>
        </w:rPr>
        <w:t xml:space="preserve">As we work to strengthen our internal connections, we must also increase efforts to connect to our local community and to our alumni. SUNY Plattsburgh has a reputation for assisting with the health, educational, and business needs of the community, but there are myriad potential connections that will strengthen our community and, at the same time, enrich the experiences of our students. </w:t>
      </w:r>
    </w:p>
    <w:p w:rsidR="000B766B" w:rsidRPr="00614235" w:rsidRDefault="000B766B" w:rsidP="000B766B">
      <w:pPr>
        <w:pStyle w:val="Pa0"/>
        <w:rPr>
          <w:rFonts w:ascii="Times New Roman" w:hAnsi="Times New Roman"/>
          <w:color w:val="000000"/>
          <w:sz w:val="23"/>
          <w:szCs w:val="23"/>
        </w:rPr>
      </w:pPr>
      <w:r w:rsidRPr="00614235">
        <w:rPr>
          <w:rFonts w:ascii="Times New Roman" w:hAnsi="Times New Roman"/>
          <w:color w:val="000000"/>
          <w:sz w:val="23"/>
          <w:szCs w:val="23"/>
        </w:rPr>
        <w:t>To this end, SUNY Plattsburgh will:</w:t>
      </w:r>
    </w:p>
    <w:p w:rsidR="000B766B" w:rsidRPr="00614235" w:rsidRDefault="000B766B" w:rsidP="000B766B">
      <w:pPr>
        <w:pStyle w:val="Pa2"/>
        <w:ind w:left="360"/>
        <w:rPr>
          <w:rFonts w:ascii="Times New Roman" w:hAnsi="Times New Roman"/>
          <w:color w:val="000000"/>
          <w:sz w:val="23"/>
          <w:szCs w:val="23"/>
        </w:rPr>
      </w:pPr>
      <w:r w:rsidRPr="00614235">
        <w:rPr>
          <w:rFonts w:ascii="Times New Roman" w:hAnsi="Times New Roman"/>
          <w:color w:val="000000"/>
          <w:sz w:val="23"/>
          <w:szCs w:val="23"/>
        </w:rPr>
        <w:t>• encourage interdisciplinary scholarship and collaboration on campus; and promote aca</w:t>
      </w:r>
      <w:r w:rsidRPr="00614235">
        <w:rPr>
          <w:rFonts w:ascii="Times New Roman" w:hAnsi="Times New Roman"/>
          <w:color w:val="000000"/>
          <w:sz w:val="23"/>
          <w:szCs w:val="23"/>
        </w:rPr>
        <w:softHyphen/>
        <w:t>demic program alignment that will build capacity and enhance scholarship;</w:t>
      </w:r>
    </w:p>
    <w:p w:rsidR="000B766B" w:rsidRPr="00614235" w:rsidRDefault="000B766B" w:rsidP="000B766B">
      <w:pPr>
        <w:pStyle w:val="Pa2"/>
        <w:ind w:left="360"/>
        <w:rPr>
          <w:rFonts w:ascii="Times New Roman" w:hAnsi="Times New Roman"/>
          <w:color w:val="000000"/>
          <w:sz w:val="23"/>
          <w:szCs w:val="23"/>
        </w:rPr>
      </w:pPr>
      <w:r w:rsidRPr="00614235">
        <w:rPr>
          <w:rFonts w:ascii="Times New Roman" w:hAnsi="Times New Roman"/>
          <w:color w:val="000000"/>
          <w:sz w:val="23"/>
          <w:szCs w:val="23"/>
        </w:rPr>
        <w:t>• continue to build partnerships with the local community, the region and state, particularly in the business, education and health fields, and to support, where relevant, the efforts of the area’s regional economic development; and</w:t>
      </w:r>
    </w:p>
    <w:p w:rsidR="000B766B" w:rsidRDefault="000B766B" w:rsidP="000B766B">
      <w:pPr>
        <w:pStyle w:val="Pa2"/>
        <w:ind w:left="360"/>
        <w:rPr>
          <w:rFonts w:ascii="Times New Roman" w:hAnsi="Times New Roman"/>
          <w:color w:val="000000"/>
          <w:sz w:val="23"/>
          <w:szCs w:val="23"/>
        </w:rPr>
      </w:pPr>
      <w:r w:rsidRPr="00614235">
        <w:rPr>
          <w:rFonts w:ascii="Times New Roman" w:hAnsi="Times New Roman"/>
          <w:color w:val="000000"/>
          <w:sz w:val="23"/>
          <w:szCs w:val="23"/>
        </w:rPr>
        <w:t xml:space="preserve">• </w:t>
      </w:r>
      <w:proofErr w:type="gramStart"/>
      <w:r w:rsidRPr="00614235">
        <w:rPr>
          <w:rFonts w:ascii="Times New Roman" w:hAnsi="Times New Roman"/>
          <w:color w:val="000000"/>
          <w:sz w:val="23"/>
          <w:szCs w:val="23"/>
        </w:rPr>
        <w:t>increase  alumni</w:t>
      </w:r>
      <w:proofErr w:type="gramEnd"/>
      <w:r w:rsidRPr="00614235">
        <w:rPr>
          <w:rFonts w:ascii="Times New Roman" w:hAnsi="Times New Roman"/>
          <w:color w:val="000000"/>
          <w:sz w:val="23"/>
          <w:szCs w:val="23"/>
        </w:rPr>
        <w:t xml:space="preserve">  connections with students for mentoring, career development, and stronger  relationships with the college. </w:t>
      </w:r>
    </w:p>
    <w:p w:rsidR="000B766B" w:rsidRDefault="000B766B" w:rsidP="000B766B">
      <w:pPr>
        <w:pStyle w:val="Pa0"/>
        <w:pageBreakBefore/>
        <w:rPr>
          <w:rStyle w:val="A3"/>
          <w:rFonts w:ascii="Times New Roman" w:hAnsi="Times New Roman"/>
        </w:rPr>
      </w:pPr>
      <w:r w:rsidRPr="00614235">
        <w:rPr>
          <w:rStyle w:val="A3"/>
          <w:rFonts w:ascii="Times New Roman" w:hAnsi="Times New Roman"/>
        </w:rPr>
        <w:lastRenderedPageBreak/>
        <w:t>Cultivate a Culture of Continuous Improvement</w:t>
      </w:r>
    </w:p>
    <w:p w:rsidR="000B766B" w:rsidRPr="00614235" w:rsidRDefault="000B766B" w:rsidP="000B766B"/>
    <w:p w:rsidR="000B766B" w:rsidRPr="00614235" w:rsidRDefault="000B766B" w:rsidP="000B766B">
      <w:pPr>
        <w:pStyle w:val="Pa0"/>
        <w:rPr>
          <w:rFonts w:ascii="Times New Roman" w:hAnsi="Times New Roman"/>
          <w:color w:val="000000"/>
          <w:sz w:val="23"/>
          <w:szCs w:val="23"/>
        </w:rPr>
      </w:pPr>
      <w:r w:rsidRPr="00614235">
        <w:rPr>
          <w:rFonts w:ascii="Times New Roman" w:hAnsi="Times New Roman"/>
          <w:color w:val="000000"/>
          <w:sz w:val="23"/>
          <w:szCs w:val="23"/>
        </w:rPr>
        <w:t>The purpose of planning is to develop goals that, when accomplished, will improve the institution. To do that effectively, the institution needs to have processes in place that assess progress to</w:t>
      </w:r>
      <w:r w:rsidRPr="00614235">
        <w:rPr>
          <w:rFonts w:ascii="Times New Roman" w:hAnsi="Times New Roman"/>
          <w:color w:val="000000"/>
          <w:sz w:val="23"/>
          <w:szCs w:val="23"/>
        </w:rPr>
        <w:softHyphen/>
        <w:t xml:space="preserve">wards those goals, and connects budgeting and planning in a more deliberate way. </w:t>
      </w:r>
    </w:p>
    <w:p w:rsidR="000B766B" w:rsidRPr="00614235" w:rsidRDefault="000B766B" w:rsidP="000B766B">
      <w:pPr>
        <w:pStyle w:val="Pa0"/>
        <w:rPr>
          <w:rFonts w:ascii="Times New Roman" w:hAnsi="Times New Roman"/>
          <w:color w:val="000000"/>
          <w:sz w:val="23"/>
          <w:szCs w:val="23"/>
        </w:rPr>
      </w:pPr>
      <w:r w:rsidRPr="00614235">
        <w:rPr>
          <w:rFonts w:ascii="Times New Roman" w:hAnsi="Times New Roman"/>
          <w:color w:val="000000"/>
          <w:sz w:val="23"/>
          <w:szCs w:val="23"/>
        </w:rPr>
        <w:t>To this end, SUNY Plattsburgh will:</w:t>
      </w:r>
    </w:p>
    <w:p w:rsidR="000B766B" w:rsidRPr="00614235" w:rsidRDefault="000B766B" w:rsidP="000B766B">
      <w:pPr>
        <w:pStyle w:val="Pa3"/>
        <w:ind w:left="440"/>
        <w:rPr>
          <w:rFonts w:ascii="Times New Roman" w:hAnsi="Times New Roman"/>
          <w:color w:val="000000"/>
          <w:sz w:val="23"/>
          <w:szCs w:val="23"/>
        </w:rPr>
      </w:pPr>
      <w:r w:rsidRPr="00614235">
        <w:rPr>
          <w:rFonts w:ascii="Times New Roman" w:hAnsi="Times New Roman"/>
          <w:color w:val="000000"/>
          <w:sz w:val="23"/>
          <w:szCs w:val="23"/>
        </w:rPr>
        <w:t>• develop processes for planning integration that coordinate, align, and assess the variety of plans on campus;</w:t>
      </w:r>
    </w:p>
    <w:p w:rsidR="000B766B" w:rsidRPr="00614235" w:rsidRDefault="000B766B" w:rsidP="000B766B">
      <w:pPr>
        <w:pStyle w:val="Pa3"/>
        <w:ind w:left="440"/>
        <w:rPr>
          <w:rFonts w:ascii="Times New Roman" w:hAnsi="Times New Roman"/>
          <w:color w:val="000000"/>
          <w:sz w:val="23"/>
          <w:szCs w:val="23"/>
        </w:rPr>
      </w:pPr>
      <w:r w:rsidRPr="00614235">
        <w:rPr>
          <w:rFonts w:ascii="Times New Roman" w:hAnsi="Times New Roman"/>
          <w:color w:val="000000"/>
          <w:sz w:val="23"/>
          <w:szCs w:val="23"/>
        </w:rPr>
        <w:t>• develop transparent processes that align planning, assessment, and budgeting; and</w:t>
      </w:r>
    </w:p>
    <w:p w:rsidR="000B766B" w:rsidRPr="00614235" w:rsidRDefault="000B766B" w:rsidP="000B766B">
      <w:pPr>
        <w:pStyle w:val="Pa3"/>
        <w:ind w:left="440"/>
        <w:rPr>
          <w:rFonts w:ascii="Times New Roman" w:hAnsi="Times New Roman"/>
          <w:color w:val="000000"/>
          <w:sz w:val="23"/>
          <w:szCs w:val="23"/>
        </w:rPr>
      </w:pPr>
      <w:r w:rsidRPr="00614235">
        <w:rPr>
          <w:rFonts w:ascii="Times New Roman" w:hAnsi="Times New Roman"/>
          <w:color w:val="000000"/>
          <w:sz w:val="23"/>
          <w:szCs w:val="23"/>
        </w:rPr>
        <w:t xml:space="preserve">• encourage the active participation of all stakeholders in shaping, implementing, and evaluating plans. </w:t>
      </w:r>
    </w:p>
    <w:p w:rsidR="000B766B" w:rsidRDefault="000B766B" w:rsidP="000B766B"/>
    <w:p w:rsidR="005E12C6" w:rsidRDefault="00541449" w:rsidP="005E12C6">
      <w:pPr>
        <w:shd w:val="clear" w:color="auto" w:fill="FFFFFF"/>
        <w:spacing w:before="48" w:after="75"/>
        <w:outlineLvl w:val="0"/>
      </w:pPr>
      <w:r>
        <w:br w:type="page"/>
      </w:r>
    </w:p>
    <w:p w:rsidR="005E12C6" w:rsidRPr="006C027E" w:rsidRDefault="005E12C6" w:rsidP="005E12C6">
      <w:pPr>
        <w:pStyle w:val="ListParagraph"/>
        <w:autoSpaceDE w:val="0"/>
        <w:autoSpaceDN w:val="0"/>
        <w:adjustRightInd w:val="0"/>
        <w:spacing w:after="0" w:line="240" w:lineRule="auto"/>
        <w:ind w:left="0"/>
        <w:rPr>
          <w:b/>
        </w:rPr>
      </w:pPr>
      <w:r w:rsidRPr="007F7C2F">
        <w:rPr>
          <w:b/>
        </w:rPr>
        <w:t>Assessment Effectiveness</w:t>
      </w:r>
      <w:r>
        <w:rPr>
          <w:b/>
        </w:rPr>
        <w:t xml:space="preserve">: </w:t>
      </w:r>
      <w:r>
        <w:t>Evaluating the effectiveness of an assessment program is a Middle States’ standard. The following represents criteria for best practices related to unit assessment. Use the 0-3 rating scale to indicate the department’s/unit’s progress towards meeting standards for effective assessment:</w:t>
      </w:r>
    </w:p>
    <w:p w:rsidR="005E12C6" w:rsidRDefault="005E12C6" w:rsidP="005E12C6">
      <w:pPr>
        <w:shd w:val="clear" w:color="auto" w:fill="FFFFFF"/>
        <w:spacing w:before="48" w:after="75"/>
        <w:outlineLvl w:val="0"/>
      </w:pPr>
    </w:p>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2632"/>
        <w:gridCol w:w="2633"/>
        <w:gridCol w:w="2632"/>
        <w:gridCol w:w="2633"/>
      </w:tblGrid>
      <w:tr w:rsidR="00505080" w:rsidRPr="00FE1CC1" w:rsidTr="00505080">
        <w:tc>
          <w:tcPr>
            <w:tcW w:w="2632" w:type="dxa"/>
            <w:shd w:val="clear" w:color="auto" w:fill="EEECE1"/>
          </w:tcPr>
          <w:p w:rsidR="005E12C6" w:rsidRPr="00505080" w:rsidRDefault="005E12C6" w:rsidP="00505080">
            <w:pPr>
              <w:autoSpaceDE w:val="0"/>
              <w:autoSpaceDN w:val="0"/>
              <w:adjustRightInd w:val="0"/>
              <w:jc w:val="center"/>
              <w:rPr>
                <w:rFonts w:ascii="Calibri" w:eastAsia="Calibri" w:hAnsi="Calibri"/>
                <w:sz w:val="20"/>
                <w:szCs w:val="20"/>
              </w:rPr>
            </w:pPr>
            <w:r w:rsidRPr="00505080">
              <w:rPr>
                <w:rFonts w:ascii="Calibri" w:eastAsia="Calibri" w:hAnsi="Calibri"/>
                <w:b/>
                <w:sz w:val="20"/>
                <w:szCs w:val="20"/>
              </w:rPr>
              <w:t>Level 0: Not Evident</w:t>
            </w:r>
          </w:p>
        </w:tc>
        <w:tc>
          <w:tcPr>
            <w:tcW w:w="2633" w:type="dxa"/>
            <w:shd w:val="clear" w:color="auto" w:fill="EEECE1"/>
          </w:tcPr>
          <w:p w:rsidR="005E12C6" w:rsidRPr="00505080" w:rsidRDefault="005E12C6" w:rsidP="00505080">
            <w:pPr>
              <w:autoSpaceDE w:val="0"/>
              <w:autoSpaceDN w:val="0"/>
              <w:adjustRightInd w:val="0"/>
              <w:jc w:val="center"/>
              <w:rPr>
                <w:rFonts w:ascii="Calibri" w:eastAsia="Calibri" w:hAnsi="Calibri"/>
                <w:sz w:val="20"/>
                <w:szCs w:val="20"/>
              </w:rPr>
            </w:pPr>
            <w:r w:rsidRPr="00505080">
              <w:rPr>
                <w:rFonts w:ascii="Calibri" w:eastAsia="Calibri" w:hAnsi="Calibri"/>
                <w:b/>
                <w:sz w:val="20"/>
                <w:szCs w:val="20"/>
              </w:rPr>
              <w:t>Level 1: Emerging</w:t>
            </w:r>
          </w:p>
        </w:tc>
        <w:tc>
          <w:tcPr>
            <w:tcW w:w="2632" w:type="dxa"/>
            <w:shd w:val="clear" w:color="auto" w:fill="EEECE1"/>
          </w:tcPr>
          <w:p w:rsidR="005E12C6" w:rsidRPr="00505080" w:rsidRDefault="005E12C6" w:rsidP="00505080">
            <w:pPr>
              <w:autoSpaceDE w:val="0"/>
              <w:autoSpaceDN w:val="0"/>
              <w:adjustRightInd w:val="0"/>
              <w:jc w:val="center"/>
              <w:rPr>
                <w:rFonts w:ascii="Calibri" w:eastAsia="Calibri" w:hAnsi="Calibri"/>
                <w:sz w:val="20"/>
                <w:szCs w:val="20"/>
              </w:rPr>
            </w:pPr>
            <w:r w:rsidRPr="00505080">
              <w:rPr>
                <w:rFonts w:ascii="Calibri" w:eastAsia="Calibri" w:hAnsi="Calibri"/>
                <w:b/>
                <w:sz w:val="20"/>
                <w:szCs w:val="20"/>
              </w:rPr>
              <w:t>Level 2: Proficient</w:t>
            </w:r>
          </w:p>
        </w:tc>
        <w:tc>
          <w:tcPr>
            <w:tcW w:w="2633" w:type="dxa"/>
            <w:shd w:val="clear" w:color="auto" w:fill="EEECE1"/>
          </w:tcPr>
          <w:p w:rsidR="005E12C6" w:rsidRPr="00505080" w:rsidRDefault="005E12C6" w:rsidP="00505080">
            <w:pPr>
              <w:autoSpaceDE w:val="0"/>
              <w:autoSpaceDN w:val="0"/>
              <w:adjustRightInd w:val="0"/>
              <w:jc w:val="center"/>
              <w:rPr>
                <w:rFonts w:ascii="Calibri" w:eastAsia="Calibri" w:hAnsi="Calibri"/>
                <w:sz w:val="20"/>
                <w:szCs w:val="20"/>
              </w:rPr>
            </w:pPr>
            <w:r w:rsidRPr="00505080">
              <w:rPr>
                <w:rFonts w:ascii="Calibri" w:eastAsia="Calibri" w:hAnsi="Calibri"/>
                <w:b/>
                <w:sz w:val="20"/>
                <w:szCs w:val="20"/>
              </w:rPr>
              <w:t>Level 3: Excelling</w:t>
            </w:r>
          </w:p>
        </w:tc>
      </w:tr>
      <w:tr w:rsidR="00505080" w:rsidRPr="00C44294" w:rsidTr="00505080">
        <w:tc>
          <w:tcPr>
            <w:tcW w:w="2632" w:type="dxa"/>
            <w:shd w:val="clear" w:color="auto" w:fill="auto"/>
          </w:tcPr>
          <w:p w:rsidR="005E12C6" w:rsidRPr="00505080" w:rsidRDefault="005E12C6" w:rsidP="00505080">
            <w:pPr>
              <w:autoSpaceDE w:val="0"/>
              <w:autoSpaceDN w:val="0"/>
              <w:adjustRightInd w:val="0"/>
              <w:spacing w:before="60" w:after="60"/>
              <w:rPr>
                <w:rFonts w:ascii="Calibri" w:hAnsi="Calibri" w:cs="Calibri"/>
                <w:sz w:val="21"/>
                <w:szCs w:val="21"/>
              </w:rPr>
            </w:pPr>
            <w:r w:rsidRPr="00505080">
              <w:rPr>
                <w:rFonts w:ascii="Calibri" w:hAnsi="Calibri" w:cs="Calibri"/>
                <w:sz w:val="21"/>
                <w:szCs w:val="21"/>
              </w:rPr>
              <w:t>Assessment related work is mostly or entirely absent.</w:t>
            </w:r>
          </w:p>
        </w:tc>
        <w:tc>
          <w:tcPr>
            <w:tcW w:w="2633" w:type="dxa"/>
            <w:shd w:val="clear" w:color="auto" w:fill="auto"/>
          </w:tcPr>
          <w:p w:rsidR="005E12C6" w:rsidRPr="00505080" w:rsidRDefault="005E12C6" w:rsidP="00505080">
            <w:pPr>
              <w:autoSpaceDE w:val="0"/>
              <w:autoSpaceDN w:val="0"/>
              <w:adjustRightInd w:val="0"/>
              <w:spacing w:before="60" w:after="60"/>
              <w:rPr>
                <w:rFonts w:ascii="Calibri" w:hAnsi="Calibri" w:cs="Calibri"/>
                <w:sz w:val="21"/>
                <w:szCs w:val="21"/>
              </w:rPr>
            </w:pPr>
            <w:r w:rsidRPr="00505080">
              <w:rPr>
                <w:rFonts w:ascii="Calibri" w:hAnsi="Calibri" w:cs="Calibri"/>
                <w:sz w:val="21"/>
                <w:szCs w:val="21"/>
              </w:rPr>
              <w:t>Assessment related work is underway, possibly newly created, but still largely piecemeal in manifestation.</w:t>
            </w:r>
          </w:p>
        </w:tc>
        <w:tc>
          <w:tcPr>
            <w:tcW w:w="2632" w:type="dxa"/>
            <w:shd w:val="clear" w:color="auto" w:fill="auto"/>
          </w:tcPr>
          <w:p w:rsidR="005E12C6" w:rsidRPr="00505080" w:rsidRDefault="005E12C6" w:rsidP="00505080">
            <w:pPr>
              <w:autoSpaceDE w:val="0"/>
              <w:autoSpaceDN w:val="0"/>
              <w:adjustRightInd w:val="0"/>
              <w:spacing w:before="60" w:after="60"/>
              <w:rPr>
                <w:rFonts w:ascii="Calibri" w:hAnsi="Calibri" w:cs="Calibri"/>
                <w:sz w:val="21"/>
                <w:szCs w:val="21"/>
              </w:rPr>
            </w:pPr>
            <w:r w:rsidRPr="00505080">
              <w:rPr>
                <w:rFonts w:ascii="Calibri" w:hAnsi="Calibri" w:cs="Calibri"/>
                <w:sz w:val="21"/>
                <w:szCs w:val="21"/>
              </w:rPr>
              <w:t>The unit is doing a competent job with assessment, but there are still slight gaps/deficiencies.</w:t>
            </w:r>
          </w:p>
        </w:tc>
        <w:tc>
          <w:tcPr>
            <w:tcW w:w="2633" w:type="dxa"/>
            <w:shd w:val="clear" w:color="auto" w:fill="auto"/>
          </w:tcPr>
          <w:p w:rsidR="005E12C6" w:rsidRPr="00505080" w:rsidRDefault="005E12C6" w:rsidP="00505080">
            <w:pPr>
              <w:autoSpaceDE w:val="0"/>
              <w:autoSpaceDN w:val="0"/>
              <w:adjustRightInd w:val="0"/>
              <w:spacing w:before="60" w:after="60"/>
              <w:rPr>
                <w:rFonts w:ascii="Calibri" w:hAnsi="Calibri" w:cs="Calibri"/>
                <w:sz w:val="21"/>
                <w:szCs w:val="21"/>
              </w:rPr>
            </w:pPr>
            <w:r w:rsidRPr="00505080">
              <w:rPr>
                <w:rFonts w:ascii="Calibri" w:hAnsi="Calibri" w:cs="Calibri"/>
                <w:sz w:val="21"/>
                <w:szCs w:val="21"/>
              </w:rPr>
              <w:t>The unit has a thorough and accomplished process in place.</w:t>
            </w:r>
          </w:p>
        </w:tc>
      </w:tr>
    </w:tbl>
    <w:p w:rsidR="005E12C6" w:rsidRDefault="005E12C6" w:rsidP="005E12C6">
      <w:pPr>
        <w:shd w:val="clear" w:color="auto" w:fill="FFFFFF"/>
        <w:spacing w:before="48" w:after="75"/>
        <w:outlineLvl w:val="0"/>
      </w:pPr>
    </w:p>
    <w:tbl>
      <w:tblPr>
        <w:tblW w:w="1049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03"/>
        <w:gridCol w:w="6488"/>
        <w:gridCol w:w="775"/>
      </w:tblGrid>
      <w:tr w:rsidR="00505080" w:rsidRPr="006C027E" w:rsidTr="00505080">
        <w:tc>
          <w:tcPr>
            <w:tcW w:w="1629" w:type="dxa"/>
            <w:shd w:val="clear" w:color="auto" w:fill="F2DBDB"/>
            <w:vAlign w:val="center"/>
          </w:tcPr>
          <w:p w:rsidR="005E12C6" w:rsidRPr="00505080" w:rsidRDefault="005E12C6" w:rsidP="00505080">
            <w:pPr>
              <w:autoSpaceDE w:val="0"/>
              <w:autoSpaceDN w:val="0"/>
              <w:adjustRightInd w:val="0"/>
              <w:jc w:val="center"/>
              <w:rPr>
                <w:rFonts w:ascii="Calibri" w:hAnsi="Calibri" w:cs="Calibri"/>
                <w:sz w:val="21"/>
                <w:szCs w:val="21"/>
              </w:rPr>
            </w:pPr>
            <w:r w:rsidRPr="00505080">
              <w:rPr>
                <w:rFonts w:ascii="Calibri" w:hAnsi="Calibri" w:cs="Calibri"/>
                <w:b/>
                <w:sz w:val="21"/>
                <w:szCs w:val="21"/>
              </w:rPr>
              <w:t>Aspect</w:t>
            </w:r>
          </w:p>
        </w:tc>
        <w:tc>
          <w:tcPr>
            <w:tcW w:w="1603" w:type="dxa"/>
            <w:shd w:val="clear" w:color="auto" w:fill="F2DBDB"/>
            <w:vAlign w:val="center"/>
          </w:tcPr>
          <w:p w:rsidR="005E12C6" w:rsidRPr="00505080" w:rsidRDefault="005E12C6" w:rsidP="00505080">
            <w:pPr>
              <w:autoSpaceDE w:val="0"/>
              <w:autoSpaceDN w:val="0"/>
              <w:adjustRightInd w:val="0"/>
              <w:jc w:val="center"/>
              <w:rPr>
                <w:rFonts w:ascii="Calibri" w:hAnsi="Calibri" w:cs="Calibri"/>
                <w:sz w:val="21"/>
                <w:szCs w:val="21"/>
              </w:rPr>
            </w:pPr>
            <w:r w:rsidRPr="00505080">
              <w:rPr>
                <w:rFonts w:ascii="Calibri" w:hAnsi="Calibri" w:cs="Calibri"/>
                <w:b/>
                <w:sz w:val="21"/>
                <w:szCs w:val="21"/>
              </w:rPr>
              <w:t>Element</w:t>
            </w:r>
          </w:p>
        </w:tc>
        <w:tc>
          <w:tcPr>
            <w:tcW w:w="6488" w:type="dxa"/>
            <w:shd w:val="clear" w:color="auto" w:fill="F2DBDB"/>
            <w:vAlign w:val="center"/>
          </w:tcPr>
          <w:p w:rsidR="005E12C6" w:rsidRPr="00505080" w:rsidRDefault="005E12C6" w:rsidP="00505080">
            <w:pPr>
              <w:autoSpaceDE w:val="0"/>
              <w:autoSpaceDN w:val="0"/>
              <w:adjustRightInd w:val="0"/>
              <w:jc w:val="center"/>
              <w:rPr>
                <w:rFonts w:ascii="Calibri" w:hAnsi="Calibri" w:cs="Calibri"/>
                <w:sz w:val="21"/>
                <w:szCs w:val="21"/>
              </w:rPr>
            </w:pPr>
            <w:r w:rsidRPr="00505080">
              <w:rPr>
                <w:rFonts w:ascii="Calibri" w:hAnsi="Calibri" w:cs="Calibri"/>
                <w:b/>
                <w:sz w:val="21"/>
                <w:szCs w:val="21"/>
              </w:rPr>
              <w:t>Best Practices</w:t>
            </w:r>
          </w:p>
        </w:tc>
        <w:tc>
          <w:tcPr>
            <w:tcW w:w="775" w:type="dxa"/>
            <w:shd w:val="clear" w:color="auto" w:fill="F2DBDB"/>
          </w:tcPr>
          <w:p w:rsidR="005E12C6" w:rsidRPr="00505080" w:rsidRDefault="005E12C6" w:rsidP="00505080">
            <w:pPr>
              <w:autoSpaceDE w:val="0"/>
              <w:autoSpaceDN w:val="0"/>
              <w:adjustRightInd w:val="0"/>
              <w:jc w:val="center"/>
              <w:rPr>
                <w:rFonts w:ascii="Calibri" w:hAnsi="Calibri" w:cs="Calibri"/>
                <w:sz w:val="21"/>
                <w:szCs w:val="21"/>
              </w:rPr>
            </w:pPr>
            <w:r w:rsidRPr="00505080">
              <w:rPr>
                <w:rFonts w:ascii="Calibri" w:hAnsi="Calibri" w:cs="Calibri"/>
                <w:b/>
                <w:sz w:val="21"/>
                <w:szCs w:val="21"/>
              </w:rPr>
              <w:t>Level</w:t>
            </w:r>
          </w:p>
        </w:tc>
      </w:tr>
      <w:tr w:rsidR="00505080" w:rsidRPr="007F7C2F" w:rsidTr="00505080">
        <w:tc>
          <w:tcPr>
            <w:tcW w:w="1629" w:type="dxa"/>
            <w:vMerge w:val="restart"/>
            <w:shd w:val="clear" w:color="auto" w:fill="DDD9C3"/>
            <w:vAlign w:val="center"/>
          </w:tcPr>
          <w:p w:rsidR="005E12C6" w:rsidRPr="00505080" w:rsidRDefault="005E12C6" w:rsidP="00505080">
            <w:pPr>
              <w:autoSpaceDE w:val="0"/>
              <w:autoSpaceDN w:val="0"/>
              <w:adjustRightInd w:val="0"/>
              <w:jc w:val="center"/>
              <w:rPr>
                <w:rFonts w:ascii="Calibri" w:hAnsi="Calibri" w:cs="Calibri"/>
                <w:sz w:val="21"/>
                <w:szCs w:val="21"/>
              </w:rPr>
            </w:pPr>
            <w:r w:rsidRPr="00505080">
              <w:rPr>
                <w:rFonts w:ascii="Calibri" w:hAnsi="Calibri" w:cs="Calibri"/>
                <w:b/>
                <w:sz w:val="21"/>
                <w:szCs w:val="21"/>
              </w:rPr>
              <w:t>Design</w:t>
            </w:r>
          </w:p>
        </w:tc>
        <w:tc>
          <w:tcPr>
            <w:tcW w:w="1603" w:type="dxa"/>
            <w:shd w:val="clear" w:color="auto" w:fill="EEECE1"/>
            <w:vAlign w:val="center"/>
          </w:tcPr>
          <w:p w:rsidR="005E12C6" w:rsidRPr="00505080" w:rsidRDefault="005E12C6" w:rsidP="00505080">
            <w:pPr>
              <w:autoSpaceDE w:val="0"/>
              <w:autoSpaceDN w:val="0"/>
              <w:adjustRightInd w:val="0"/>
              <w:jc w:val="center"/>
              <w:rPr>
                <w:rFonts w:ascii="Calibri" w:hAnsi="Calibri" w:cs="Calibri"/>
                <w:sz w:val="21"/>
                <w:szCs w:val="21"/>
              </w:rPr>
            </w:pPr>
            <w:r w:rsidRPr="00505080">
              <w:rPr>
                <w:rFonts w:ascii="Calibri" w:hAnsi="Calibri" w:cs="Calibri"/>
                <w:b/>
                <w:sz w:val="21"/>
                <w:szCs w:val="21"/>
              </w:rPr>
              <w:t>Plan</w:t>
            </w:r>
          </w:p>
        </w:tc>
        <w:tc>
          <w:tcPr>
            <w:tcW w:w="6488" w:type="dxa"/>
            <w:shd w:val="clear" w:color="auto" w:fill="auto"/>
          </w:tcPr>
          <w:p w:rsidR="005E12C6" w:rsidRPr="00505080" w:rsidRDefault="005E12C6" w:rsidP="00505080">
            <w:pPr>
              <w:autoSpaceDE w:val="0"/>
              <w:autoSpaceDN w:val="0"/>
              <w:adjustRightInd w:val="0"/>
              <w:spacing w:before="60" w:after="60"/>
              <w:rPr>
                <w:rFonts w:ascii="Calibri" w:hAnsi="Calibri" w:cs="Calibri"/>
                <w:sz w:val="21"/>
                <w:szCs w:val="21"/>
              </w:rPr>
            </w:pPr>
            <w:r w:rsidRPr="00505080">
              <w:rPr>
                <w:rFonts w:ascii="Calibri" w:hAnsi="Calibri" w:cs="Calibri"/>
                <w:sz w:val="21"/>
                <w:szCs w:val="21"/>
              </w:rPr>
              <w:t>The unit has a formal, written assessment plan that documents an organized, sustained assessment process covering all programs. The plan outlines responsibility for assessment, timelines, and procedures for data collection.</w:t>
            </w:r>
          </w:p>
        </w:tc>
        <w:tc>
          <w:tcPr>
            <w:tcW w:w="775" w:type="dxa"/>
            <w:shd w:val="clear" w:color="auto" w:fill="auto"/>
          </w:tcPr>
          <w:p w:rsidR="005E12C6" w:rsidRPr="00505080" w:rsidRDefault="005E12C6" w:rsidP="00505080">
            <w:pPr>
              <w:autoSpaceDE w:val="0"/>
              <w:autoSpaceDN w:val="0"/>
              <w:adjustRightInd w:val="0"/>
              <w:spacing w:before="60" w:after="60"/>
              <w:jc w:val="center"/>
              <w:rPr>
                <w:rFonts w:ascii="Calibri" w:hAnsi="Calibri" w:cs="Calibri"/>
                <w:sz w:val="22"/>
                <w:szCs w:val="22"/>
              </w:rPr>
            </w:pPr>
          </w:p>
        </w:tc>
      </w:tr>
      <w:tr w:rsidR="00505080" w:rsidRPr="007F7C2F" w:rsidTr="00505080">
        <w:tc>
          <w:tcPr>
            <w:tcW w:w="1629" w:type="dxa"/>
            <w:vMerge/>
            <w:shd w:val="clear" w:color="auto" w:fill="DDD9C3"/>
            <w:vAlign w:val="center"/>
          </w:tcPr>
          <w:p w:rsidR="005E12C6" w:rsidRPr="00505080" w:rsidRDefault="005E12C6" w:rsidP="00505080">
            <w:pPr>
              <w:autoSpaceDE w:val="0"/>
              <w:autoSpaceDN w:val="0"/>
              <w:adjustRightInd w:val="0"/>
              <w:jc w:val="center"/>
              <w:rPr>
                <w:rFonts w:ascii="Calibri" w:hAnsi="Calibri" w:cs="Calibri"/>
                <w:sz w:val="21"/>
                <w:szCs w:val="21"/>
              </w:rPr>
            </w:pPr>
          </w:p>
        </w:tc>
        <w:tc>
          <w:tcPr>
            <w:tcW w:w="1603" w:type="dxa"/>
            <w:shd w:val="clear" w:color="auto" w:fill="EEECE1"/>
            <w:vAlign w:val="center"/>
          </w:tcPr>
          <w:p w:rsidR="005E12C6" w:rsidRPr="00505080" w:rsidRDefault="005E12C6" w:rsidP="00505080">
            <w:pPr>
              <w:autoSpaceDE w:val="0"/>
              <w:autoSpaceDN w:val="0"/>
              <w:adjustRightInd w:val="0"/>
              <w:jc w:val="center"/>
              <w:rPr>
                <w:rFonts w:ascii="Calibri" w:hAnsi="Calibri" w:cs="Calibri"/>
                <w:sz w:val="21"/>
                <w:szCs w:val="21"/>
              </w:rPr>
            </w:pPr>
            <w:r w:rsidRPr="00505080">
              <w:rPr>
                <w:rFonts w:ascii="Calibri" w:hAnsi="Calibri" w:cs="Calibri"/>
                <w:b/>
                <w:sz w:val="21"/>
                <w:szCs w:val="21"/>
              </w:rPr>
              <w:t>Outcomes</w:t>
            </w:r>
          </w:p>
        </w:tc>
        <w:tc>
          <w:tcPr>
            <w:tcW w:w="6488" w:type="dxa"/>
            <w:shd w:val="clear" w:color="auto" w:fill="auto"/>
          </w:tcPr>
          <w:p w:rsidR="005E12C6" w:rsidRPr="00505080" w:rsidRDefault="005E12C6" w:rsidP="00505080">
            <w:pPr>
              <w:autoSpaceDE w:val="0"/>
              <w:autoSpaceDN w:val="0"/>
              <w:adjustRightInd w:val="0"/>
              <w:spacing w:before="60" w:after="60"/>
              <w:rPr>
                <w:rFonts w:ascii="Calibri" w:hAnsi="Calibri" w:cs="Calibri"/>
                <w:sz w:val="21"/>
                <w:szCs w:val="21"/>
              </w:rPr>
            </w:pPr>
            <w:r w:rsidRPr="00505080">
              <w:rPr>
                <w:rFonts w:ascii="Calibri" w:hAnsi="Calibri" w:cs="Calibri"/>
                <w:sz w:val="21"/>
                <w:szCs w:val="21"/>
              </w:rPr>
              <w:t xml:space="preserve">Specific, measurable, outcomes exist for each project/program that the unit offers. Broader outcomes have been developed for the unit. </w:t>
            </w:r>
          </w:p>
        </w:tc>
        <w:tc>
          <w:tcPr>
            <w:tcW w:w="775" w:type="dxa"/>
            <w:shd w:val="clear" w:color="auto" w:fill="auto"/>
          </w:tcPr>
          <w:p w:rsidR="005E12C6" w:rsidRPr="00505080" w:rsidRDefault="005E12C6" w:rsidP="00505080">
            <w:pPr>
              <w:autoSpaceDE w:val="0"/>
              <w:autoSpaceDN w:val="0"/>
              <w:adjustRightInd w:val="0"/>
              <w:spacing w:before="60" w:after="60"/>
              <w:jc w:val="center"/>
              <w:rPr>
                <w:rFonts w:ascii="Calibri" w:hAnsi="Calibri" w:cs="Calibri"/>
                <w:sz w:val="22"/>
                <w:szCs w:val="22"/>
              </w:rPr>
            </w:pPr>
          </w:p>
        </w:tc>
      </w:tr>
      <w:tr w:rsidR="00505080" w:rsidRPr="007F7C2F" w:rsidTr="00505080">
        <w:tc>
          <w:tcPr>
            <w:tcW w:w="1629" w:type="dxa"/>
            <w:vMerge/>
            <w:shd w:val="clear" w:color="auto" w:fill="DDD9C3"/>
            <w:vAlign w:val="center"/>
          </w:tcPr>
          <w:p w:rsidR="005E12C6" w:rsidRPr="00505080" w:rsidRDefault="005E12C6" w:rsidP="00505080">
            <w:pPr>
              <w:autoSpaceDE w:val="0"/>
              <w:autoSpaceDN w:val="0"/>
              <w:adjustRightInd w:val="0"/>
              <w:jc w:val="center"/>
              <w:rPr>
                <w:rFonts w:ascii="Calibri" w:hAnsi="Calibri" w:cs="Calibri"/>
                <w:sz w:val="21"/>
                <w:szCs w:val="21"/>
              </w:rPr>
            </w:pPr>
          </w:p>
        </w:tc>
        <w:tc>
          <w:tcPr>
            <w:tcW w:w="1603" w:type="dxa"/>
            <w:shd w:val="clear" w:color="auto" w:fill="EEECE1"/>
            <w:vAlign w:val="center"/>
          </w:tcPr>
          <w:p w:rsidR="005E12C6" w:rsidRPr="00505080" w:rsidRDefault="005E12C6" w:rsidP="00505080">
            <w:pPr>
              <w:autoSpaceDE w:val="0"/>
              <w:autoSpaceDN w:val="0"/>
              <w:adjustRightInd w:val="0"/>
              <w:jc w:val="center"/>
              <w:rPr>
                <w:rFonts w:ascii="Calibri" w:hAnsi="Calibri" w:cs="Calibri"/>
                <w:sz w:val="21"/>
                <w:szCs w:val="21"/>
              </w:rPr>
            </w:pPr>
            <w:r w:rsidRPr="00505080">
              <w:rPr>
                <w:rFonts w:ascii="Calibri" w:hAnsi="Calibri" w:cs="Calibri"/>
                <w:b/>
                <w:sz w:val="21"/>
                <w:szCs w:val="21"/>
              </w:rPr>
              <w:t>Alignment</w:t>
            </w:r>
          </w:p>
        </w:tc>
        <w:tc>
          <w:tcPr>
            <w:tcW w:w="6488" w:type="dxa"/>
            <w:shd w:val="clear" w:color="auto" w:fill="auto"/>
          </w:tcPr>
          <w:p w:rsidR="005E12C6" w:rsidRPr="00505080" w:rsidRDefault="005E12C6" w:rsidP="00505080">
            <w:pPr>
              <w:autoSpaceDE w:val="0"/>
              <w:autoSpaceDN w:val="0"/>
              <w:adjustRightInd w:val="0"/>
              <w:spacing w:before="60" w:after="60"/>
              <w:rPr>
                <w:rFonts w:ascii="Calibri" w:hAnsi="Calibri" w:cs="Calibri"/>
                <w:sz w:val="21"/>
                <w:szCs w:val="21"/>
              </w:rPr>
            </w:pPr>
            <w:r w:rsidRPr="00505080">
              <w:rPr>
                <w:rFonts w:ascii="Calibri" w:hAnsi="Calibri" w:cs="Calibri"/>
                <w:sz w:val="21"/>
                <w:szCs w:val="21"/>
              </w:rPr>
              <w:t xml:space="preserve">More specific subordinate outcomes (e.g., project/program outcomes) are aligned with broader, higher-level outcomes (e.g., unit outcomes) and these are aligned with the college mission. </w:t>
            </w:r>
          </w:p>
        </w:tc>
        <w:tc>
          <w:tcPr>
            <w:tcW w:w="775" w:type="dxa"/>
            <w:shd w:val="clear" w:color="auto" w:fill="auto"/>
          </w:tcPr>
          <w:p w:rsidR="005E12C6" w:rsidRPr="00505080" w:rsidRDefault="005E12C6" w:rsidP="00505080">
            <w:pPr>
              <w:autoSpaceDE w:val="0"/>
              <w:autoSpaceDN w:val="0"/>
              <w:adjustRightInd w:val="0"/>
              <w:spacing w:before="60" w:after="60"/>
              <w:jc w:val="center"/>
              <w:rPr>
                <w:rFonts w:ascii="Calibri" w:hAnsi="Calibri" w:cs="Calibri"/>
                <w:sz w:val="22"/>
                <w:szCs w:val="22"/>
              </w:rPr>
            </w:pPr>
          </w:p>
        </w:tc>
      </w:tr>
      <w:tr w:rsidR="00505080" w:rsidRPr="007F7C2F" w:rsidTr="00505080">
        <w:tc>
          <w:tcPr>
            <w:tcW w:w="1629" w:type="dxa"/>
            <w:vMerge w:val="restart"/>
            <w:shd w:val="clear" w:color="auto" w:fill="DDD9C3"/>
            <w:vAlign w:val="center"/>
          </w:tcPr>
          <w:p w:rsidR="005E12C6" w:rsidRPr="00505080" w:rsidRDefault="005E12C6" w:rsidP="00505080">
            <w:pPr>
              <w:autoSpaceDE w:val="0"/>
              <w:autoSpaceDN w:val="0"/>
              <w:adjustRightInd w:val="0"/>
              <w:jc w:val="center"/>
              <w:rPr>
                <w:rFonts w:ascii="Calibri" w:hAnsi="Calibri" w:cs="Calibri"/>
                <w:sz w:val="21"/>
                <w:szCs w:val="21"/>
              </w:rPr>
            </w:pPr>
            <w:r w:rsidRPr="00505080">
              <w:rPr>
                <w:rFonts w:ascii="Calibri" w:hAnsi="Calibri" w:cs="Calibri"/>
                <w:b/>
                <w:sz w:val="21"/>
                <w:szCs w:val="21"/>
              </w:rPr>
              <w:t>Implementation</w:t>
            </w:r>
          </w:p>
        </w:tc>
        <w:tc>
          <w:tcPr>
            <w:tcW w:w="1603" w:type="dxa"/>
            <w:shd w:val="clear" w:color="auto" w:fill="EEECE1"/>
            <w:vAlign w:val="center"/>
          </w:tcPr>
          <w:p w:rsidR="005E12C6" w:rsidRPr="00505080" w:rsidRDefault="005E12C6" w:rsidP="00505080">
            <w:pPr>
              <w:autoSpaceDE w:val="0"/>
              <w:autoSpaceDN w:val="0"/>
              <w:adjustRightInd w:val="0"/>
              <w:jc w:val="center"/>
              <w:rPr>
                <w:rFonts w:ascii="Calibri" w:hAnsi="Calibri" w:cs="Calibri"/>
                <w:sz w:val="21"/>
                <w:szCs w:val="21"/>
              </w:rPr>
            </w:pPr>
            <w:r w:rsidRPr="00505080">
              <w:rPr>
                <w:rFonts w:ascii="Calibri" w:hAnsi="Calibri" w:cs="Calibri"/>
                <w:b/>
                <w:sz w:val="21"/>
                <w:szCs w:val="21"/>
              </w:rPr>
              <w:t>Culture</w:t>
            </w:r>
          </w:p>
        </w:tc>
        <w:tc>
          <w:tcPr>
            <w:tcW w:w="6488" w:type="dxa"/>
            <w:shd w:val="clear" w:color="auto" w:fill="auto"/>
          </w:tcPr>
          <w:p w:rsidR="005E12C6" w:rsidRPr="00505080" w:rsidRDefault="005E12C6" w:rsidP="00505080">
            <w:pPr>
              <w:autoSpaceDE w:val="0"/>
              <w:autoSpaceDN w:val="0"/>
              <w:adjustRightInd w:val="0"/>
              <w:spacing w:before="60" w:after="60"/>
              <w:rPr>
                <w:rFonts w:ascii="Calibri" w:hAnsi="Calibri" w:cs="Calibri"/>
                <w:sz w:val="21"/>
                <w:szCs w:val="21"/>
              </w:rPr>
            </w:pPr>
            <w:r w:rsidRPr="00505080">
              <w:rPr>
                <w:rFonts w:ascii="Calibri" w:hAnsi="Calibri" w:cs="Calibri"/>
                <w:sz w:val="21"/>
                <w:szCs w:val="21"/>
              </w:rPr>
              <w:t xml:space="preserve">All faculty, professionals, and staff are involved in assessment activities. </w:t>
            </w:r>
          </w:p>
        </w:tc>
        <w:tc>
          <w:tcPr>
            <w:tcW w:w="775" w:type="dxa"/>
            <w:shd w:val="clear" w:color="auto" w:fill="auto"/>
          </w:tcPr>
          <w:p w:rsidR="005E12C6" w:rsidRPr="00505080" w:rsidRDefault="005E12C6" w:rsidP="00505080">
            <w:pPr>
              <w:autoSpaceDE w:val="0"/>
              <w:autoSpaceDN w:val="0"/>
              <w:adjustRightInd w:val="0"/>
              <w:spacing w:before="60" w:after="60"/>
              <w:jc w:val="center"/>
              <w:rPr>
                <w:rFonts w:ascii="Calibri" w:hAnsi="Calibri" w:cs="Calibri"/>
                <w:sz w:val="22"/>
                <w:szCs w:val="22"/>
              </w:rPr>
            </w:pPr>
          </w:p>
        </w:tc>
      </w:tr>
      <w:tr w:rsidR="00505080" w:rsidRPr="007F7C2F" w:rsidTr="00505080">
        <w:tc>
          <w:tcPr>
            <w:tcW w:w="1629" w:type="dxa"/>
            <w:vMerge/>
            <w:shd w:val="clear" w:color="auto" w:fill="DDD9C3"/>
            <w:vAlign w:val="center"/>
          </w:tcPr>
          <w:p w:rsidR="005E12C6" w:rsidRPr="00505080" w:rsidRDefault="005E12C6" w:rsidP="00505080">
            <w:pPr>
              <w:autoSpaceDE w:val="0"/>
              <w:autoSpaceDN w:val="0"/>
              <w:adjustRightInd w:val="0"/>
              <w:jc w:val="center"/>
              <w:rPr>
                <w:rFonts w:ascii="Calibri" w:hAnsi="Calibri" w:cs="Calibri"/>
                <w:sz w:val="21"/>
                <w:szCs w:val="21"/>
              </w:rPr>
            </w:pPr>
          </w:p>
        </w:tc>
        <w:tc>
          <w:tcPr>
            <w:tcW w:w="1603" w:type="dxa"/>
            <w:shd w:val="clear" w:color="auto" w:fill="EEECE1"/>
            <w:vAlign w:val="center"/>
          </w:tcPr>
          <w:p w:rsidR="005E12C6" w:rsidRPr="00505080" w:rsidRDefault="005E12C6" w:rsidP="00505080">
            <w:pPr>
              <w:autoSpaceDE w:val="0"/>
              <w:autoSpaceDN w:val="0"/>
              <w:adjustRightInd w:val="0"/>
              <w:jc w:val="center"/>
              <w:rPr>
                <w:rFonts w:ascii="Calibri" w:hAnsi="Calibri" w:cs="Calibri"/>
                <w:sz w:val="21"/>
                <w:szCs w:val="21"/>
              </w:rPr>
            </w:pPr>
            <w:r w:rsidRPr="00505080">
              <w:rPr>
                <w:rFonts w:ascii="Calibri" w:hAnsi="Calibri" w:cs="Calibri"/>
                <w:b/>
                <w:sz w:val="21"/>
                <w:szCs w:val="21"/>
              </w:rPr>
              <w:t>Data Focus</w:t>
            </w:r>
          </w:p>
        </w:tc>
        <w:tc>
          <w:tcPr>
            <w:tcW w:w="6488" w:type="dxa"/>
            <w:shd w:val="clear" w:color="auto" w:fill="auto"/>
          </w:tcPr>
          <w:p w:rsidR="005E12C6" w:rsidRPr="00505080" w:rsidRDefault="005E12C6" w:rsidP="00505080">
            <w:pPr>
              <w:autoSpaceDE w:val="0"/>
              <w:autoSpaceDN w:val="0"/>
              <w:adjustRightInd w:val="0"/>
              <w:spacing w:before="60" w:after="60"/>
              <w:rPr>
                <w:rFonts w:ascii="Calibri" w:hAnsi="Calibri" w:cs="Calibri"/>
                <w:sz w:val="21"/>
                <w:szCs w:val="21"/>
              </w:rPr>
            </w:pPr>
            <w:r w:rsidRPr="00505080">
              <w:rPr>
                <w:rFonts w:ascii="Calibri" w:hAnsi="Calibri" w:cs="Calibri"/>
                <w:sz w:val="21"/>
                <w:szCs w:val="21"/>
              </w:rPr>
              <w:t xml:space="preserve">The method of assessment aligns with the outcome being assessed. Data from multiple sources and measures are considered. Where appropriate, direct and indirect methods are used to gather quantitative and qualitative data. </w:t>
            </w:r>
          </w:p>
        </w:tc>
        <w:tc>
          <w:tcPr>
            <w:tcW w:w="775" w:type="dxa"/>
            <w:shd w:val="clear" w:color="auto" w:fill="auto"/>
          </w:tcPr>
          <w:p w:rsidR="005E12C6" w:rsidRPr="00505080" w:rsidRDefault="005E12C6" w:rsidP="00505080">
            <w:pPr>
              <w:autoSpaceDE w:val="0"/>
              <w:autoSpaceDN w:val="0"/>
              <w:adjustRightInd w:val="0"/>
              <w:spacing w:before="60" w:after="60"/>
              <w:jc w:val="center"/>
              <w:rPr>
                <w:rFonts w:ascii="Calibri" w:hAnsi="Calibri" w:cs="Calibri"/>
                <w:sz w:val="22"/>
                <w:szCs w:val="22"/>
              </w:rPr>
            </w:pPr>
          </w:p>
        </w:tc>
      </w:tr>
      <w:tr w:rsidR="00505080" w:rsidRPr="007F7C2F" w:rsidTr="00505080">
        <w:tc>
          <w:tcPr>
            <w:tcW w:w="1629" w:type="dxa"/>
            <w:vMerge/>
            <w:shd w:val="clear" w:color="auto" w:fill="DDD9C3"/>
            <w:vAlign w:val="center"/>
          </w:tcPr>
          <w:p w:rsidR="005E12C6" w:rsidRPr="00505080" w:rsidRDefault="005E12C6" w:rsidP="00505080">
            <w:pPr>
              <w:autoSpaceDE w:val="0"/>
              <w:autoSpaceDN w:val="0"/>
              <w:adjustRightInd w:val="0"/>
              <w:jc w:val="center"/>
              <w:rPr>
                <w:rFonts w:ascii="Calibri" w:hAnsi="Calibri" w:cs="Calibri"/>
                <w:sz w:val="21"/>
                <w:szCs w:val="21"/>
              </w:rPr>
            </w:pPr>
          </w:p>
        </w:tc>
        <w:tc>
          <w:tcPr>
            <w:tcW w:w="1603" w:type="dxa"/>
            <w:shd w:val="clear" w:color="auto" w:fill="EEECE1"/>
            <w:vAlign w:val="center"/>
          </w:tcPr>
          <w:p w:rsidR="005E12C6" w:rsidRPr="00505080" w:rsidRDefault="005E12C6" w:rsidP="00505080">
            <w:pPr>
              <w:autoSpaceDE w:val="0"/>
              <w:autoSpaceDN w:val="0"/>
              <w:adjustRightInd w:val="0"/>
              <w:jc w:val="center"/>
              <w:rPr>
                <w:rFonts w:ascii="Calibri" w:hAnsi="Calibri" w:cs="Calibri"/>
                <w:sz w:val="21"/>
                <w:szCs w:val="21"/>
              </w:rPr>
            </w:pPr>
            <w:r w:rsidRPr="00505080">
              <w:rPr>
                <w:rFonts w:ascii="Calibri" w:hAnsi="Calibri" w:cs="Calibri"/>
                <w:b/>
                <w:sz w:val="21"/>
                <w:szCs w:val="21"/>
              </w:rPr>
              <w:t>Monitoring</w:t>
            </w:r>
          </w:p>
        </w:tc>
        <w:tc>
          <w:tcPr>
            <w:tcW w:w="6488" w:type="dxa"/>
            <w:shd w:val="clear" w:color="auto" w:fill="auto"/>
          </w:tcPr>
          <w:p w:rsidR="005E12C6" w:rsidRPr="00505080" w:rsidRDefault="005E12C6" w:rsidP="00505080">
            <w:pPr>
              <w:autoSpaceDE w:val="0"/>
              <w:autoSpaceDN w:val="0"/>
              <w:adjustRightInd w:val="0"/>
              <w:spacing w:before="60" w:after="60"/>
              <w:rPr>
                <w:rFonts w:ascii="Calibri" w:hAnsi="Calibri" w:cs="Calibri"/>
                <w:sz w:val="21"/>
                <w:szCs w:val="21"/>
              </w:rPr>
            </w:pPr>
            <w:r w:rsidRPr="00505080">
              <w:rPr>
                <w:rFonts w:ascii="Calibri" w:hAnsi="Calibri" w:cs="Calibri"/>
                <w:sz w:val="21"/>
                <w:szCs w:val="21"/>
              </w:rPr>
              <w:t xml:space="preserve">Processes are in place to monitor how the assessment plan is carried out. </w:t>
            </w:r>
          </w:p>
        </w:tc>
        <w:tc>
          <w:tcPr>
            <w:tcW w:w="775" w:type="dxa"/>
            <w:shd w:val="clear" w:color="auto" w:fill="auto"/>
          </w:tcPr>
          <w:p w:rsidR="005E12C6" w:rsidRPr="00505080" w:rsidRDefault="005E12C6" w:rsidP="00505080">
            <w:pPr>
              <w:autoSpaceDE w:val="0"/>
              <w:autoSpaceDN w:val="0"/>
              <w:adjustRightInd w:val="0"/>
              <w:spacing w:before="60" w:after="60"/>
              <w:jc w:val="center"/>
              <w:rPr>
                <w:rFonts w:ascii="Calibri" w:hAnsi="Calibri" w:cs="Calibri"/>
                <w:sz w:val="22"/>
                <w:szCs w:val="22"/>
              </w:rPr>
            </w:pPr>
          </w:p>
        </w:tc>
      </w:tr>
      <w:tr w:rsidR="00505080" w:rsidRPr="007F7C2F" w:rsidTr="00505080">
        <w:tc>
          <w:tcPr>
            <w:tcW w:w="1629" w:type="dxa"/>
            <w:vMerge w:val="restart"/>
            <w:shd w:val="clear" w:color="auto" w:fill="DDD9C3"/>
            <w:vAlign w:val="center"/>
          </w:tcPr>
          <w:p w:rsidR="005E12C6" w:rsidRPr="00505080" w:rsidRDefault="005E12C6" w:rsidP="00505080">
            <w:pPr>
              <w:autoSpaceDE w:val="0"/>
              <w:autoSpaceDN w:val="0"/>
              <w:adjustRightInd w:val="0"/>
              <w:jc w:val="center"/>
              <w:rPr>
                <w:rFonts w:ascii="Calibri" w:hAnsi="Calibri" w:cs="Calibri"/>
                <w:sz w:val="21"/>
                <w:szCs w:val="21"/>
              </w:rPr>
            </w:pPr>
            <w:r w:rsidRPr="00505080">
              <w:rPr>
                <w:rFonts w:ascii="Calibri" w:hAnsi="Calibri" w:cs="Calibri"/>
                <w:b/>
                <w:sz w:val="21"/>
                <w:szCs w:val="21"/>
              </w:rPr>
              <w:t>Impact</w:t>
            </w:r>
          </w:p>
        </w:tc>
        <w:tc>
          <w:tcPr>
            <w:tcW w:w="1603" w:type="dxa"/>
            <w:shd w:val="clear" w:color="auto" w:fill="EEECE1"/>
            <w:vAlign w:val="center"/>
          </w:tcPr>
          <w:p w:rsidR="005E12C6" w:rsidRPr="00505080" w:rsidRDefault="005E12C6" w:rsidP="00505080">
            <w:pPr>
              <w:autoSpaceDE w:val="0"/>
              <w:autoSpaceDN w:val="0"/>
              <w:adjustRightInd w:val="0"/>
              <w:jc w:val="center"/>
              <w:rPr>
                <w:rFonts w:ascii="Calibri" w:hAnsi="Calibri" w:cs="Calibri"/>
                <w:sz w:val="21"/>
                <w:szCs w:val="21"/>
              </w:rPr>
            </w:pPr>
            <w:r w:rsidRPr="00505080">
              <w:rPr>
                <w:rFonts w:ascii="Calibri" w:hAnsi="Calibri" w:cs="Calibri"/>
                <w:b/>
                <w:sz w:val="21"/>
                <w:szCs w:val="21"/>
              </w:rPr>
              <w:t>Communication</w:t>
            </w:r>
          </w:p>
        </w:tc>
        <w:tc>
          <w:tcPr>
            <w:tcW w:w="6488" w:type="dxa"/>
            <w:shd w:val="clear" w:color="auto" w:fill="auto"/>
          </w:tcPr>
          <w:p w:rsidR="005E12C6" w:rsidRPr="00505080" w:rsidRDefault="005E12C6" w:rsidP="00505080">
            <w:pPr>
              <w:autoSpaceDE w:val="0"/>
              <w:autoSpaceDN w:val="0"/>
              <w:adjustRightInd w:val="0"/>
              <w:spacing w:before="60" w:after="60"/>
              <w:rPr>
                <w:rFonts w:ascii="Calibri" w:hAnsi="Calibri" w:cs="Calibri"/>
                <w:sz w:val="21"/>
                <w:szCs w:val="21"/>
              </w:rPr>
            </w:pPr>
            <w:r w:rsidRPr="00505080">
              <w:rPr>
                <w:rFonts w:ascii="Calibri" w:hAnsi="Calibri" w:cs="Calibri"/>
                <w:sz w:val="21"/>
                <w:szCs w:val="21"/>
              </w:rPr>
              <w:t>The unit analyzes results and discusses recommendations. Assessment results are readily available and actively shared with all parties with an interest in them, including stakeholders internal and external to the unit. An annual assessment record is included in the unit’s annual report.</w:t>
            </w:r>
          </w:p>
        </w:tc>
        <w:tc>
          <w:tcPr>
            <w:tcW w:w="775" w:type="dxa"/>
            <w:shd w:val="clear" w:color="auto" w:fill="auto"/>
          </w:tcPr>
          <w:p w:rsidR="005E12C6" w:rsidRPr="00505080" w:rsidRDefault="005E12C6" w:rsidP="00505080">
            <w:pPr>
              <w:autoSpaceDE w:val="0"/>
              <w:autoSpaceDN w:val="0"/>
              <w:adjustRightInd w:val="0"/>
              <w:spacing w:before="60" w:after="60"/>
              <w:jc w:val="center"/>
              <w:rPr>
                <w:rFonts w:ascii="Calibri" w:hAnsi="Calibri" w:cs="Calibri"/>
                <w:sz w:val="22"/>
                <w:szCs w:val="22"/>
              </w:rPr>
            </w:pPr>
          </w:p>
        </w:tc>
      </w:tr>
      <w:tr w:rsidR="00505080" w:rsidRPr="007F7C2F" w:rsidTr="00505080">
        <w:tc>
          <w:tcPr>
            <w:tcW w:w="1629" w:type="dxa"/>
            <w:vMerge/>
            <w:shd w:val="clear" w:color="auto" w:fill="DDD9C3"/>
            <w:vAlign w:val="center"/>
          </w:tcPr>
          <w:p w:rsidR="005E12C6" w:rsidRPr="00505080" w:rsidRDefault="005E12C6" w:rsidP="00505080">
            <w:pPr>
              <w:autoSpaceDE w:val="0"/>
              <w:autoSpaceDN w:val="0"/>
              <w:adjustRightInd w:val="0"/>
              <w:jc w:val="center"/>
              <w:rPr>
                <w:rFonts w:ascii="Calibri" w:hAnsi="Calibri" w:cs="Calibri"/>
                <w:sz w:val="21"/>
                <w:szCs w:val="21"/>
              </w:rPr>
            </w:pPr>
          </w:p>
        </w:tc>
        <w:tc>
          <w:tcPr>
            <w:tcW w:w="1603" w:type="dxa"/>
            <w:shd w:val="clear" w:color="auto" w:fill="EEECE1"/>
            <w:vAlign w:val="center"/>
          </w:tcPr>
          <w:p w:rsidR="005E12C6" w:rsidRPr="00505080" w:rsidRDefault="005E12C6" w:rsidP="00505080">
            <w:pPr>
              <w:autoSpaceDE w:val="0"/>
              <w:autoSpaceDN w:val="0"/>
              <w:adjustRightInd w:val="0"/>
              <w:jc w:val="center"/>
              <w:rPr>
                <w:rFonts w:ascii="Calibri" w:hAnsi="Calibri" w:cs="Calibri"/>
                <w:sz w:val="21"/>
                <w:szCs w:val="21"/>
              </w:rPr>
            </w:pPr>
            <w:r w:rsidRPr="00505080">
              <w:rPr>
                <w:rFonts w:ascii="Calibri" w:hAnsi="Calibri" w:cs="Calibri"/>
                <w:b/>
                <w:sz w:val="21"/>
                <w:szCs w:val="21"/>
              </w:rPr>
              <w:t>Closing the Loop</w:t>
            </w:r>
          </w:p>
        </w:tc>
        <w:tc>
          <w:tcPr>
            <w:tcW w:w="6488" w:type="dxa"/>
            <w:shd w:val="clear" w:color="auto" w:fill="auto"/>
          </w:tcPr>
          <w:p w:rsidR="005E12C6" w:rsidRPr="00505080" w:rsidRDefault="005E12C6" w:rsidP="00505080">
            <w:pPr>
              <w:autoSpaceDE w:val="0"/>
              <w:autoSpaceDN w:val="0"/>
              <w:adjustRightInd w:val="0"/>
              <w:spacing w:before="60" w:after="60"/>
              <w:rPr>
                <w:rFonts w:ascii="Calibri" w:hAnsi="Calibri" w:cs="Calibri"/>
                <w:sz w:val="21"/>
                <w:szCs w:val="21"/>
              </w:rPr>
            </w:pPr>
            <w:r w:rsidRPr="00505080">
              <w:rPr>
                <w:rFonts w:ascii="Calibri" w:hAnsi="Calibri" w:cs="Calibri"/>
                <w:sz w:val="21"/>
                <w:szCs w:val="21"/>
              </w:rPr>
              <w:t>Assessment data are used for unit improvement. Improvements may focus on service effectiveness, service efficiency, or other areas associated with the institutional mission, goals, and values.</w:t>
            </w:r>
          </w:p>
        </w:tc>
        <w:tc>
          <w:tcPr>
            <w:tcW w:w="775" w:type="dxa"/>
            <w:shd w:val="clear" w:color="auto" w:fill="auto"/>
          </w:tcPr>
          <w:p w:rsidR="005E12C6" w:rsidRPr="00505080" w:rsidRDefault="005E12C6" w:rsidP="00505080">
            <w:pPr>
              <w:autoSpaceDE w:val="0"/>
              <w:autoSpaceDN w:val="0"/>
              <w:adjustRightInd w:val="0"/>
              <w:spacing w:before="60" w:after="60"/>
              <w:jc w:val="center"/>
              <w:rPr>
                <w:rFonts w:ascii="Calibri" w:hAnsi="Calibri" w:cs="Calibri"/>
                <w:sz w:val="22"/>
                <w:szCs w:val="22"/>
              </w:rPr>
            </w:pPr>
          </w:p>
        </w:tc>
      </w:tr>
      <w:tr w:rsidR="00505080" w:rsidRPr="007F7C2F" w:rsidTr="00505080">
        <w:tc>
          <w:tcPr>
            <w:tcW w:w="1629" w:type="dxa"/>
            <w:vMerge/>
            <w:shd w:val="clear" w:color="auto" w:fill="DDD9C3"/>
            <w:vAlign w:val="center"/>
          </w:tcPr>
          <w:p w:rsidR="005E12C6" w:rsidRPr="00505080" w:rsidRDefault="005E12C6" w:rsidP="00505080">
            <w:pPr>
              <w:autoSpaceDE w:val="0"/>
              <w:autoSpaceDN w:val="0"/>
              <w:adjustRightInd w:val="0"/>
              <w:jc w:val="center"/>
              <w:rPr>
                <w:rFonts w:ascii="Calibri" w:hAnsi="Calibri" w:cs="Calibri"/>
                <w:sz w:val="21"/>
                <w:szCs w:val="21"/>
              </w:rPr>
            </w:pPr>
          </w:p>
        </w:tc>
        <w:tc>
          <w:tcPr>
            <w:tcW w:w="1603" w:type="dxa"/>
            <w:shd w:val="clear" w:color="auto" w:fill="EEECE1"/>
            <w:vAlign w:val="center"/>
          </w:tcPr>
          <w:p w:rsidR="005E12C6" w:rsidRPr="00505080" w:rsidRDefault="005E12C6" w:rsidP="00505080">
            <w:pPr>
              <w:autoSpaceDE w:val="0"/>
              <w:autoSpaceDN w:val="0"/>
              <w:adjustRightInd w:val="0"/>
              <w:jc w:val="center"/>
              <w:rPr>
                <w:rFonts w:ascii="Calibri" w:hAnsi="Calibri" w:cs="Calibri"/>
                <w:sz w:val="21"/>
                <w:szCs w:val="21"/>
              </w:rPr>
            </w:pPr>
            <w:r w:rsidRPr="00505080">
              <w:rPr>
                <w:rFonts w:ascii="Calibri" w:hAnsi="Calibri" w:cs="Calibri"/>
                <w:b/>
                <w:sz w:val="21"/>
                <w:szCs w:val="21"/>
              </w:rPr>
              <w:t>Planning and Budgeting</w:t>
            </w:r>
          </w:p>
        </w:tc>
        <w:tc>
          <w:tcPr>
            <w:tcW w:w="6488" w:type="dxa"/>
            <w:shd w:val="clear" w:color="auto" w:fill="auto"/>
          </w:tcPr>
          <w:p w:rsidR="005E12C6" w:rsidRPr="00505080" w:rsidRDefault="005E12C6" w:rsidP="00505080">
            <w:pPr>
              <w:autoSpaceDE w:val="0"/>
              <w:autoSpaceDN w:val="0"/>
              <w:adjustRightInd w:val="0"/>
              <w:spacing w:before="60" w:after="60"/>
              <w:rPr>
                <w:rFonts w:ascii="Calibri" w:hAnsi="Calibri" w:cs="Calibri"/>
                <w:sz w:val="21"/>
                <w:szCs w:val="21"/>
              </w:rPr>
            </w:pPr>
            <w:r w:rsidRPr="00505080">
              <w:rPr>
                <w:rFonts w:ascii="Calibri" w:hAnsi="Calibri" w:cs="Calibri"/>
                <w:sz w:val="21"/>
                <w:szCs w:val="21"/>
              </w:rPr>
              <w:t xml:space="preserve">Assessment data are routinely considered in planning and budgeting for future needs of the unit. </w:t>
            </w:r>
          </w:p>
        </w:tc>
        <w:tc>
          <w:tcPr>
            <w:tcW w:w="775" w:type="dxa"/>
            <w:shd w:val="clear" w:color="auto" w:fill="auto"/>
          </w:tcPr>
          <w:p w:rsidR="005E12C6" w:rsidRPr="00505080" w:rsidRDefault="005E12C6" w:rsidP="00505080">
            <w:pPr>
              <w:autoSpaceDE w:val="0"/>
              <w:autoSpaceDN w:val="0"/>
              <w:adjustRightInd w:val="0"/>
              <w:spacing w:before="60" w:after="60"/>
              <w:jc w:val="center"/>
              <w:rPr>
                <w:rFonts w:ascii="Calibri" w:hAnsi="Calibri" w:cs="Calibri"/>
                <w:sz w:val="22"/>
                <w:szCs w:val="22"/>
              </w:rPr>
            </w:pPr>
          </w:p>
        </w:tc>
      </w:tr>
    </w:tbl>
    <w:p w:rsidR="005E12C6" w:rsidRPr="006C027E" w:rsidRDefault="005E12C6" w:rsidP="005E12C6">
      <w:pPr>
        <w:autoSpaceDE w:val="0"/>
        <w:autoSpaceDN w:val="0"/>
        <w:adjustRightInd w:val="0"/>
        <w:rPr>
          <w:color w:val="0000FF"/>
          <w:sz w:val="18"/>
          <w:szCs w:val="20"/>
          <w:u w:val="single"/>
        </w:rPr>
      </w:pPr>
      <w:r w:rsidRPr="005E12C6">
        <w:rPr>
          <w:rFonts w:cs="Calibri"/>
          <w:sz w:val="20"/>
        </w:rPr>
        <w:t>Adapted from the SUNY Council on Assessment</w:t>
      </w:r>
      <w:r w:rsidRPr="006C027E">
        <w:rPr>
          <w:sz w:val="18"/>
          <w:szCs w:val="20"/>
        </w:rPr>
        <w:t xml:space="preserve">, </w:t>
      </w:r>
      <w:hyperlink r:id="rId10" w:history="1">
        <w:r w:rsidRPr="006C027E">
          <w:rPr>
            <w:rStyle w:val="Hyperlink"/>
            <w:sz w:val="18"/>
            <w:szCs w:val="20"/>
          </w:rPr>
          <w:t>Institutional Effectiveness Rubric</w:t>
        </w:r>
      </w:hyperlink>
    </w:p>
    <w:p w:rsidR="005E12C6" w:rsidRDefault="005E12C6" w:rsidP="005E12C6">
      <w:pPr>
        <w:shd w:val="clear" w:color="auto" w:fill="FFFFFF"/>
        <w:spacing w:before="48" w:after="75"/>
        <w:outlineLvl w:val="0"/>
      </w:pPr>
    </w:p>
    <w:p w:rsidR="005E12C6" w:rsidRDefault="001A2B1E" w:rsidP="005E12C6">
      <w:pPr>
        <w:shd w:val="clear" w:color="auto" w:fill="FFFFFF"/>
        <w:spacing w:before="48" w:after="75"/>
        <w:outlineLvl w:val="0"/>
      </w:pPr>
      <w:r>
        <w:t>Please be prepared to discuss your scores with either your supervisor or the Vice President.</w:t>
      </w:r>
    </w:p>
    <w:p w:rsidR="007A49EB" w:rsidRDefault="007A49EB" w:rsidP="005E12C6">
      <w:pPr>
        <w:shd w:val="clear" w:color="auto" w:fill="FFFFFF"/>
        <w:spacing w:before="48" w:after="75"/>
        <w:outlineLvl w:val="0"/>
      </w:pPr>
    </w:p>
    <w:p w:rsidR="007A49EB" w:rsidRDefault="007A49EB" w:rsidP="005E12C6">
      <w:pPr>
        <w:shd w:val="clear" w:color="auto" w:fill="FFFFFF"/>
        <w:spacing w:before="48" w:after="75"/>
        <w:outlineLvl w:val="0"/>
      </w:pPr>
    </w:p>
    <w:p w:rsidR="007A49EB" w:rsidRDefault="007A49EB" w:rsidP="005E12C6">
      <w:pPr>
        <w:shd w:val="clear" w:color="auto" w:fill="FFFFFF"/>
        <w:spacing w:before="48" w:after="75"/>
        <w:outlineLvl w:val="0"/>
      </w:pPr>
    </w:p>
    <w:p w:rsidR="007A49EB" w:rsidRDefault="007A49EB" w:rsidP="005E12C6">
      <w:pPr>
        <w:shd w:val="clear" w:color="auto" w:fill="FFFFFF"/>
        <w:spacing w:before="48" w:after="75"/>
        <w:outlineLvl w:val="0"/>
      </w:pPr>
    </w:p>
    <w:p w:rsidR="007A49EB" w:rsidRDefault="007A49EB" w:rsidP="005E12C6">
      <w:pPr>
        <w:shd w:val="clear" w:color="auto" w:fill="FFFFFF"/>
        <w:spacing w:before="48" w:after="75"/>
        <w:outlineLvl w:val="0"/>
      </w:pPr>
    </w:p>
    <w:p w:rsidR="007A49EB" w:rsidRDefault="007A49EB" w:rsidP="005E12C6">
      <w:pPr>
        <w:shd w:val="clear" w:color="auto" w:fill="FFFFFF"/>
        <w:spacing w:before="48" w:after="75"/>
        <w:outlineLvl w:val="0"/>
      </w:pPr>
    </w:p>
    <w:p w:rsidR="007A49EB" w:rsidRPr="007A49EB" w:rsidRDefault="007A49EB" w:rsidP="007A49EB">
      <w:pPr>
        <w:autoSpaceDE w:val="0"/>
        <w:autoSpaceDN w:val="0"/>
        <w:adjustRightInd w:val="0"/>
        <w:rPr>
          <w:rFonts w:eastAsia="Calibri" w:cs="Calibri"/>
          <w:b/>
          <w:color w:val="333334"/>
        </w:rPr>
      </w:pPr>
      <w:r w:rsidRPr="007A49EB">
        <w:rPr>
          <w:rFonts w:eastAsia="Calibri" w:cs="Calibri"/>
          <w:b/>
          <w:color w:val="333334"/>
        </w:rPr>
        <w:lastRenderedPageBreak/>
        <w:t>Table 1 - Applied Learning Categories and Definitions</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370"/>
      </w:tblGrid>
      <w:tr w:rsidR="00505080" w:rsidRPr="00A10B37" w:rsidTr="00505080">
        <w:tc>
          <w:tcPr>
            <w:tcW w:w="2070" w:type="dxa"/>
            <w:shd w:val="clear" w:color="auto" w:fill="F2DBDB"/>
          </w:tcPr>
          <w:p w:rsidR="007A49EB" w:rsidRPr="00505080" w:rsidRDefault="007A49EB" w:rsidP="00505080">
            <w:pPr>
              <w:autoSpaceDE w:val="0"/>
              <w:autoSpaceDN w:val="0"/>
              <w:adjustRightInd w:val="0"/>
              <w:rPr>
                <w:rFonts w:ascii="Calibri" w:eastAsia="Calibri" w:hAnsi="Calibri" w:cs="Calibri"/>
                <w:b/>
                <w:color w:val="333334"/>
                <w:sz w:val="20"/>
                <w:szCs w:val="20"/>
              </w:rPr>
            </w:pPr>
            <w:r w:rsidRPr="00505080">
              <w:rPr>
                <w:rFonts w:ascii="Calibri" w:eastAsia="Calibri" w:hAnsi="Calibri" w:cs="Calibri"/>
                <w:b/>
                <w:color w:val="333334"/>
                <w:sz w:val="20"/>
                <w:szCs w:val="20"/>
              </w:rPr>
              <w:t>*Applied Learning Category</w:t>
            </w:r>
          </w:p>
        </w:tc>
        <w:tc>
          <w:tcPr>
            <w:tcW w:w="8370" w:type="dxa"/>
            <w:shd w:val="clear" w:color="auto" w:fill="F2DBDB"/>
          </w:tcPr>
          <w:p w:rsidR="007A49EB" w:rsidRPr="00505080" w:rsidRDefault="007A49EB" w:rsidP="00505080">
            <w:pPr>
              <w:autoSpaceDE w:val="0"/>
              <w:autoSpaceDN w:val="0"/>
              <w:adjustRightInd w:val="0"/>
              <w:rPr>
                <w:rFonts w:ascii="Calibri" w:eastAsia="Calibri" w:hAnsi="Calibri" w:cs="Calibri"/>
                <w:b/>
                <w:color w:val="333334"/>
                <w:sz w:val="20"/>
                <w:szCs w:val="20"/>
              </w:rPr>
            </w:pPr>
            <w:r w:rsidRPr="00505080">
              <w:rPr>
                <w:rFonts w:ascii="Calibri" w:eastAsia="Calibri" w:hAnsi="Calibri" w:cs="Calibri"/>
                <w:b/>
                <w:color w:val="333334"/>
                <w:sz w:val="20"/>
                <w:szCs w:val="20"/>
              </w:rPr>
              <w:t>Definition</w:t>
            </w:r>
          </w:p>
        </w:tc>
      </w:tr>
      <w:tr w:rsidR="00505080" w:rsidRPr="00A10B37" w:rsidTr="00505080">
        <w:tc>
          <w:tcPr>
            <w:tcW w:w="2070" w:type="dxa"/>
            <w:shd w:val="clear" w:color="auto" w:fill="EEECE1"/>
          </w:tcPr>
          <w:p w:rsidR="007A49EB" w:rsidRPr="00505080" w:rsidRDefault="007A49EB" w:rsidP="00505080">
            <w:pPr>
              <w:autoSpaceDE w:val="0"/>
              <w:autoSpaceDN w:val="0"/>
              <w:adjustRightInd w:val="0"/>
              <w:rPr>
                <w:rFonts w:ascii="Calibri" w:eastAsia="Calibri" w:hAnsi="Calibri" w:cs="Calibri"/>
                <w:b/>
                <w:color w:val="333334"/>
                <w:sz w:val="20"/>
                <w:szCs w:val="20"/>
              </w:rPr>
            </w:pPr>
            <w:r w:rsidRPr="00505080">
              <w:rPr>
                <w:rFonts w:ascii="Calibri" w:eastAsia="Calibri" w:hAnsi="Calibri" w:cs="Calibri"/>
                <w:b/>
                <w:color w:val="333334"/>
                <w:sz w:val="20"/>
                <w:szCs w:val="20"/>
              </w:rPr>
              <w:t>Art Performances and Exhibitions:</w:t>
            </w:r>
          </w:p>
        </w:tc>
        <w:tc>
          <w:tcPr>
            <w:tcW w:w="8370" w:type="dxa"/>
            <w:shd w:val="clear" w:color="auto" w:fill="auto"/>
          </w:tcPr>
          <w:p w:rsidR="007A49EB" w:rsidRPr="00505080" w:rsidRDefault="007A49EB" w:rsidP="00512165">
            <w:pPr>
              <w:rPr>
                <w:rFonts w:ascii="Calibri" w:eastAsia="Calibri" w:hAnsi="Calibri" w:cs="Calibri"/>
                <w:sz w:val="20"/>
                <w:szCs w:val="20"/>
              </w:rPr>
            </w:pPr>
            <w:r w:rsidRPr="00505080">
              <w:rPr>
                <w:rFonts w:ascii="Calibri" w:eastAsia="Calibri" w:hAnsi="Calibri" w:cs="Calibri"/>
                <w:sz w:val="20"/>
                <w:szCs w:val="20"/>
              </w:rPr>
              <w:t>Exhibition or curation of artwork in an organized setting such as a gallery, art museum, or similar. Performances of musical, theatrical, poetic, or literary works in a public venue and including activities involving design, technical production, and arts venue management.</w:t>
            </w:r>
          </w:p>
        </w:tc>
      </w:tr>
      <w:tr w:rsidR="00505080" w:rsidRPr="00A10B37" w:rsidTr="00505080">
        <w:tc>
          <w:tcPr>
            <w:tcW w:w="2070" w:type="dxa"/>
            <w:shd w:val="clear" w:color="auto" w:fill="EEECE1"/>
          </w:tcPr>
          <w:p w:rsidR="007A49EB" w:rsidRPr="00505080" w:rsidRDefault="007A49EB" w:rsidP="00505080">
            <w:pPr>
              <w:autoSpaceDE w:val="0"/>
              <w:autoSpaceDN w:val="0"/>
              <w:adjustRightInd w:val="0"/>
              <w:rPr>
                <w:rFonts w:ascii="Calibri" w:eastAsia="Calibri" w:hAnsi="Calibri" w:cs="Calibri"/>
                <w:b/>
                <w:color w:val="333334"/>
                <w:sz w:val="20"/>
                <w:szCs w:val="20"/>
              </w:rPr>
            </w:pPr>
            <w:r w:rsidRPr="00505080">
              <w:rPr>
                <w:rFonts w:ascii="Calibri" w:eastAsia="Calibri" w:hAnsi="Calibri" w:cs="Calibri"/>
                <w:b/>
                <w:color w:val="333334"/>
                <w:sz w:val="20"/>
                <w:szCs w:val="20"/>
              </w:rPr>
              <w:t>Capstones/Thesis Projects and Classes:</w:t>
            </w:r>
          </w:p>
        </w:tc>
        <w:tc>
          <w:tcPr>
            <w:tcW w:w="8370" w:type="dxa"/>
            <w:shd w:val="clear" w:color="auto" w:fill="auto"/>
          </w:tcPr>
          <w:p w:rsidR="007A49EB" w:rsidRPr="00505080" w:rsidRDefault="007A49EB" w:rsidP="00512165">
            <w:pPr>
              <w:rPr>
                <w:rFonts w:ascii="Calibri" w:eastAsia="Calibri" w:hAnsi="Calibri" w:cs="Calibri"/>
                <w:sz w:val="20"/>
                <w:szCs w:val="20"/>
              </w:rPr>
            </w:pPr>
            <w:r w:rsidRPr="00505080">
              <w:rPr>
                <w:rFonts w:ascii="Calibri" w:eastAsia="Calibri" w:hAnsi="Calibri" w:cs="Calibri"/>
                <w:sz w:val="20"/>
                <w:szCs w:val="20"/>
              </w:rPr>
              <w:t>A culminating academic/</w:t>
            </w:r>
            <w:proofErr w:type="spellStart"/>
            <w:r w:rsidRPr="00505080">
              <w:rPr>
                <w:rFonts w:ascii="Calibri" w:eastAsia="Calibri" w:hAnsi="Calibri" w:cs="Calibri"/>
                <w:sz w:val="20"/>
                <w:szCs w:val="20"/>
              </w:rPr>
              <w:t>pre­professional</w:t>
            </w:r>
            <w:proofErr w:type="spellEnd"/>
            <w:r w:rsidRPr="00505080">
              <w:rPr>
                <w:rFonts w:ascii="Calibri" w:eastAsia="Calibri" w:hAnsi="Calibri" w:cs="Calibri"/>
                <w:sz w:val="20"/>
                <w:szCs w:val="20"/>
              </w:rPr>
              <w:t xml:space="preserve"> experience, usually faculty led, which synthesizes the totality of undergraduate study in a discipline.</w:t>
            </w:r>
          </w:p>
        </w:tc>
      </w:tr>
      <w:tr w:rsidR="00505080" w:rsidRPr="00A10B37" w:rsidTr="00505080">
        <w:tc>
          <w:tcPr>
            <w:tcW w:w="2070" w:type="dxa"/>
            <w:shd w:val="clear" w:color="auto" w:fill="EEECE1"/>
          </w:tcPr>
          <w:p w:rsidR="007A49EB" w:rsidRPr="00505080" w:rsidRDefault="007A49EB" w:rsidP="00505080">
            <w:pPr>
              <w:autoSpaceDE w:val="0"/>
              <w:autoSpaceDN w:val="0"/>
              <w:adjustRightInd w:val="0"/>
              <w:rPr>
                <w:rFonts w:ascii="Calibri" w:eastAsia="Calibri" w:hAnsi="Calibri" w:cs="Calibri"/>
                <w:b/>
                <w:bCs/>
                <w:color w:val="333334"/>
                <w:sz w:val="20"/>
                <w:szCs w:val="20"/>
              </w:rPr>
            </w:pPr>
            <w:r w:rsidRPr="00505080">
              <w:rPr>
                <w:rFonts w:ascii="Calibri" w:eastAsia="Calibri" w:hAnsi="Calibri" w:cs="Calibri"/>
                <w:b/>
                <w:bCs/>
                <w:color w:val="333334"/>
                <w:sz w:val="20"/>
                <w:szCs w:val="20"/>
              </w:rPr>
              <w:t>Civic Engagement:</w:t>
            </w:r>
          </w:p>
        </w:tc>
        <w:tc>
          <w:tcPr>
            <w:tcW w:w="8370" w:type="dxa"/>
            <w:shd w:val="clear" w:color="auto" w:fill="auto"/>
          </w:tcPr>
          <w:p w:rsidR="007A49EB" w:rsidRPr="00505080" w:rsidRDefault="007A49EB" w:rsidP="00512165">
            <w:pPr>
              <w:rPr>
                <w:rFonts w:ascii="Calibri" w:eastAsia="Calibri" w:hAnsi="Calibri" w:cs="Calibri"/>
                <w:sz w:val="20"/>
                <w:szCs w:val="20"/>
              </w:rPr>
            </w:pPr>
            <w:r w:rsidRPr="00505080">
              <w:rPr>
                <w:rFonts w:ascii="Calibri" w:eastAsia="Calibri" w:hAnsi="Calibri" w:cs="Calibri"/>
                <w:sz w:val="20"/>
                <w:szCs w:val="20"/>
              </w:rPr>
              <w:t>A teaching and learning focus on educating students as citizens. Classes or programs include meaningful civic education and activities (i.e. voter engagement, social protests) for social good. Classes and projects have components of substantial and sustained reflection and engagement. Always for academic credit.</w:t>
            </w:r>
          </w:p>
        </w:tc>
      </w:tr>
      <w:tr w:rsidR="00505080" w:rsidRPr="00A10B37" w:rsidTr="00505080">
        <w:tc>
          <w:tcPr>
            <w:tcW w:w="2070" w:type="dxa"/>
            <w:shd w:val="clear" w:color="auto" w:fill="EEECE1"/>
          </w:tcPr>
          <w:p w:rsidR="007A49EB" w:rsidRPr="00505080" w:rsidRDefault="007A49EB" w:rsidP="00505080">
            <w:pPr>
              <w:autoSpaceDE w:val="0"/>
              <w:autoSpaceDN w:val="0"/>
              <w:adjustRightInd w:val="0"/>
              <w:rPr>
                <w:rFonts w:ascii="Calibri" w:eastAsia="Calibri" w:hAnsi="Calibri" w:cs="Calibri"/>
                <w:b/>
                <w:color w:val="333334"/>
                <w:sz w:val="20"/>
                <w:szCs w:val="20"/>
              </w:rPr>
            </w:pPr>
            <w:r w:rsidRPr="00505080">
              <w:rPr>
                <w:rFonts w:ascii="Calibri" w:eastAsia="Calibri" w:hAnsi="Calibri" w:cs="Calibri"/>
                <w:b/>
                <w:color w:val="333334"/>
                <w:sz w:val="20"/>
                <w:szCs w:val="20"/>
              </w:rPr>
              <w:t>Conference Presentation</w:t>
            </w:r>
            <w:r w:rsidRPr="00505080">
              <w:rPr>
                <w:rFonts w:ascii="Calibri" w:eastAsia="Calibri" w:hAnsi="Calibri" w:cs="Calibri"/>
                <w:color w:val="333334"/>
                <w:sz w:val="20"/>
                <w:szCs w:val="20"/>
              </w:rPr>
              <w:t>:</w:t>
            </w:r>
          </w:p>
        </w:tc>
        <w:tc>
          <w:tcPr>
            <w:tcW w:w="8370" w:type="dxa"/>
            <w:shd w:val="clear" w:color="auto" w:fill="auto"/>
          </w:tcPr>
          <w:p w:rsidR="007A49EB" w:rsidRPr="00505080" w:rsidRDefault="007A49EB" w:rsidP="00512165">
            <w:pPr>
              <w:rPr>
                <w:rFonts w:ascii="Calibri" w:eastAsia="Calibri" w:hAnsi="Calibri" w:cs="Calibri"/>
                <w:sz w:val="20"/>
                <w:szCs w:val="20"/>
              </w:rPr>
            </w:pPr>
            <w:r w:rsidRPr="00505080">
              <w:rPr>
                <w:rFonts w:ascii="Calibri" w:eastAsia="Calibri" w:hAnsi="Calibri" w:cs="Calibri"/>
                <w:sz w:val="20"/>
                <w:szCs w:val="20"/>
              </w:rPr>
              <w:t>Student presentations of papers or posters based on their academic work and under the guidance of faculty at regional or national conferences related to the field of study.</w:t>
            </w:r>
          </w:p>
        </w:tc>
      </w:tr>
      <w:tr w:rsidR="00505080" w:rsidRPr="00A10B37" w:rsidTr="00505080">
        <w:tc>
          <w:tcPr>
            <w:tcW w:w="2070" w:type="dxa"/>
            <w:shd w:val="clear" w:color="auto" w:fill="EEECE1"/>
          </w:tcPr>
          <w:p w:rsidR="007A49EB" w:rsidRPr="00505080" w:rsidRDefault="007A49EB" w:rsidP="00505080">
            <w:pPr>
              <w:autoSpaceDE w:val="0"/>
              <w:autoSpaceDN w:val="0"/>
              <w:adjustRightInd w:val="0"/>
              <w:rPr>
                <w:rFonts w:ascii="Calibri" w:eastAsia="Calibri" w:hAnsi="Calibri" w:cs="Calibri"/>
                <w:b/>
                <w:bCs/>
                <w:color w:val="333334"/>
                <w:sz w:val="20"/>
                <w:szCs w:val="20"/>
              </w:rPr>
            </w:pPr>
            <w:r w:rsidRPr="00505080">
              <w:rPr>
                <w:rFonts w:ascii="Calibri" w:eastAsia="Calibri" w:hAnsi="Calibri" w:cs="Calibri"/>
                <w:b/>
                <w:bCs/>
                <w:color w:val="333334"/>
                <w:sz w:val="20"/>
                <w:szCs w:val="20"/>
              </w:rPr>
              <w:t>Cooperative Education:</w:t>
            </w:r>
          </w:p>
        </w:tc>
        <w:tc>
          <w:tcPr>
            <w:tcW w:w="8370" w:type="dxa"/>
            <w:shd w:val="clear" w:color="auto" w:fill="auto"/>
          </w:tcPr>
          <w:p w:rsidR="007A49EB" w:rsidRPr="00505080" w:rsidRDefault="007A49EB" w:rsidP="00505080">
            <w:pPr>
              <w:autoSpaceDE w:val="0"/>
              <w:autoSpaceDN w:val="0"/>
              <w:adjustRightInd w:val="0"/>
              <w:rPr>
                <w:rFonts w:ascii="Calibri" w:eastAsia="Calibri" w:hAnsi="Calibri" w:cs="Calibri"/>
                <w:b/>
                <w:bCs/>
                <w:sz w:val="20"/>
                <w:szCs w:val="20"/>
              </w:rPr>
            </w:pPr>
            <w:r w:rsidRPr="00505080">
              <w:rPr>
                <w:rFonts w:ascii="Calibri" w:eastAsia="MS Mincho" w:hAnsi="Calibri" w:cs="Calibri"/>
                <w:sz w:val="20"/>
                <w:szCs w:val="20"/>
              </w:rPr>
              <w:t xml:space="preserve">A formally recognized academic program integrating classroom learning and productive paid work experiences in a field related to a student’s academic and career goals. Co­op provides students with progressive learning experiences integrating theory and practice and serves as a partnership among students, educational institutions, and employers. Cooperative education provides students with multiple periods of work in which the work is related to the student’s major or career goal. The typical program plan is for students to alternate terms of full­time classroom study with terms of full­time, </w:t>
            </w:r>
            <w:proofErr w:type="spellStart"/>
            <w:r w:rsidRPr="00505080">
              <w:rPr>
                <w:rFonts w:ascii="Calibri" w:eastAsia="MS Mincho" w:hAnsi="Calibri" w:cs="Calibri"/>
                <w:sz w:val="20"/>
                <w:szCs w:val="20"/>
              </w:rPr>
              <w:t>discipline­related</w:t>
            </w:r>
            <w:proofErr w:type="spellEnd"/>
            <w:r w:rsidRPr="00505080">
              <w:rPr>
                <w:rFonts w:ascii="Calibri" w:eastAsia="MS Mincho" w:hAnsi="Calibri" w:cs="Calibri"/>
                <w:sz w:val="20"/>
                <w:szCs w:val="20"/>
              </w:rPr>
              <w:t xml:space="preserve"> employment. Since program participation involves multiple work terms, the typical participant will work three or four work terms, thus gaining a year or more of </w:t>
            </w:r>
            <w:proofErr w:type="spellStart"/>
            <w:r w:rsidRPr="00505080">
              <w:rPr>
                <w:rFonts w:ascii="Calibri" w:eastAsia="MS Mincho" w:hAnsi="Calibri" w:cs="Calibri"/>
                <w:sz w:val="20"/>
                <w:szCs w:val="20"/>
              </w:rPr>
              <w:t>career­related</w:t>
            </w:r>
            <w:proofErr w:type="spellEnd"/>
            <w:r w:rsidRPr="00505080">
              <w:rPr>
                <w:rFonts w:ascii="Calibri" w:eastAsia="MS Mincho" w:hAnsi="Calibri" w:cs="Calibri"/>
                <w:sz w:val="20"/>
                <w:szCs w:val="20"/>
              </w:rPr>
              <w:t xml:space="preserve"> work experience before graduation. Virtually all co­op positions are paid and the vast majority involves some form of academic credit.</w:t>
            </w:r>
          </w:p>
        </w:tc>
      </w:tr>
      <w:tr w:rsidR="00505080" w:rsidRPr="00A10B37" w:rsidTr="00505080">
        <w:tc>
          <w:tcPr>
            <w:tcW w:w="2070" w:type="dxa"/>
            <w:shd w:val="clear" w:color="auto" w:fill="EEECE1"/>
          </w:tcPr>
          <w:p w:rsidR="007A49EB" w:rsidRPr="00505080" w:rsidRDefault="007A49EB" w:rsidP="00505080">
            <w:pPr>
              <w:autoSpaceDE w:val="0"/>
              <w:autoSpaceDN w:val="0"/>
              <w:adjustRightInd w:val="0"/>
              <w:rPr>
                <w:rFonts w:eastAsia="Calibri" w:cs="Calibri"/>
                <w:b/>
                <w:color w:val="333334"/>
                <w:sz w:val="20"/>
                <w:szCs w:val="20"/>
              </w:rPr>
            </w:pPr>
            <w:r w:rsidRPr="00505080">
              <w:rPr>
                <w:rFonts w:ascii="Calibri" w:eastAsia="Calibri" w:hAnsi="Calibri" w:cs="Calibri"/>
                <w:b/>
                <w:bCs/>
                <w:color w:val="333334"/>
                <w:sz w:val="20"/>
                <w:szCs w:val="20"/>
              </w:rPr>
              <w:t>Entrepreneurship:</w:t>
            </w:r>
          </w:p>
        </w:tc>
        <w:tc>
          <w:tcPr>
            <w:tcW w:w="8370" w:type="dxa"/>
            <w:shd w:val="clear" w:color="auto" w:fill="auto"/>
          </w:tcPr>
          <w:p w:rsidR="007A49EB" w:rsidRPr="00505080" w:rsidRDefault="007A49EB" w:rsidP="00505080">
            <w:pPr>
              <w:autoSpaceDE w:val="0"/>
              <w:autoSpaceDN w:val="0"/>
              <w:adjustRightInd w:val="0"/>
              <w:rPr>
                <w:rFonts w:eastAsia="MS Mincho" w:cs="Calibri"/>
                <w:sz w:val="20"/>
                <w:szCs w:val="20"/>
              </w:rPr>
            </w:pPr>
            <w:r w:rsidRPr="00505080">
              <w:rPr>
                <w:rFonts w:ascii="Calibri" w:eastAsia="MS Mincho" w:hAnsi="Calibri" w:cs="Calibri"/>
                <w:sz w:val="20"/>
                <w:szCs w:val="20"/>
              </w:rPr>
              <w:t xml:space="preserve">Students in entrepreneurship activities identify, develop and deliver new services and products for commerce (for and </w:t>
            </w:r>
            <w:proofErr w:type="spellStart"/>
            <w:r w:rsidRPr="00505080">
              <w:rPr>
                <w:rFonts w:ascii="Calibri" w:eastAsia="MS Mincho" w:hAnsi="Calibri" w:cs="Calibri"/>
                <w:sz w:val="20"/>
                <w:szCs w:val="20"/>
              </w:rPr>
              <w:t>not­for­profit</w:t>
            </w:r>
            <w:proofErr w:type="spellEnd"/>
            <w:r w:rsidRPr="00505080">
              <w:rPr>
                <w:rFonts w:ascii="Calibri" w:eastAsia="MS Mincho" w:hAnsi="Calibri" w:cs="Calibri"/>
                <w:sz w:val="20"/>
                <w:szCs w:val="20"/>
              </w:rPr>
              <w:t xml:space="preserve"> sectors).</w:t>
            </w:r>
          </w:p>
        </w:tc>
      </w:tr>
      <w:tr w:rsidR="00505080" w:rsidRPr="00A10B37" w:rsidTr="00505080">
        <w:tc>
          <w:tcPr>
            <w:tcW w:w="2070" w:type="dxa"/>
            <w:shd w:val="clear" w:color="auto" w:fill="EEECE1"/>
          </w:tcPr>
          <w:p w:rsidR="007A49EB" w:rsidRPr="00505080" w:rsidRDefault="007A49EB" w:rsidP="00505080">
            <w:pPr>
              <w:autoSpaceDE w:val="0"/>
              <w:autoSpaceDN w:val="0"/>
              <w:adjustRightInd w:val="0"/>
              <w:rPr>
                <w:rFonts w:eastAsia="Calibri" w:cs="Calibri"/>
                <w:b/>
                <w:color w:val="333334"/>
                <w:sz w:val="20"/>
                <w:szCs w:val="20"/>
              </w:rPr>
            </w:pPr>
            <w:r w:rsidRPr="00505080">
              <w:rPr>
                <w:rFonts w:ascii="Calibri" w:eastAsia="Calibri" w:hAnsi="Calibri" w:cs="Calibri"/>
                <w:b/>
                <w:bCs/>
                <w:color w:val="333334"/>
                <w:sz w:val="20"/>
                <w:szCs w:val="20"/>
              </w:rPr>
              <w:t>Experiences Abroad:</w:t>
            </w:r>
          </w:p>
        </w:tc>
        <w:tc>
          <w:tcPr>
            <w:tcW w:w="8370" w:type="dxa"/>
            <w:shd w:val="clear" w:color="auto" w:fill="auto"/>
          </w:tcPr>
          <w:p w:rsidR="007A49EB" w:rsidRPr="00505080" w:rsidRDefault="007A49EB" w:rsidP="00505080">
            <w:pPr>
              <w:autoSpaceDE w:val="0"/>
              <w:autoSpaceDN w:val="0"/>
              <w:adjustRightInd w:val="0"/>
              <w:rPr>
                <w:rFonts w:eastAsia="MS Mincho" w:cs="Calibri"/>
                <w:sz w:val="20"/>
                <w:szCs w:val="20"/>
              </w:rPr>
            </w:pPr>
            <w:r w:rsidRPr="00505080">
              <w:rPr>
                <w:rFonts w:ascii="Calibri" w:eastAsia="MS Mincho" w:hAnsi="Calibri" w:cs="Calibri"/>
                <w:sz w:val="20"/>
                <w:szCs w:val="20"/>
              </w:rPr>
              <w:t>Including study away/abroad, international travel with emphasis on cultural learning and immersion.</w:t>
            </w:r>
          </w:p>
        </w:tc>
      </w:tr>
      <w:tr w:rsidR="00505080" w:rsidRPr="00A10B37" w:rsidTr="00505080">
        <w:tc>
          <w:tcPr>
            <w:tcW w:w="2070" w:type="dxa"/>
            <w:shd w:val="clear" w:color="auto" w:fill="EEECE1"/>
          </w:tcPr>
          <w:p w:rsidR="007A49EB" w:rsidRPr="00505080" w:rsidRDefault="007A49EB" w:rsidP="00505080">
            <w:pPr>
              <w:autoSpaceDE w:val="0"/>
              <w:autoSpaceDN w:val="0"/>
              <w:adjustRightInd w:val="0"/>
              <w:rPr>
                <w:rFonts w:ascii="Calibri" w:eastAsia="Calibri" w:hAnsi="Calibri" w:cs="Calibri"/>
                <w:b/>
                <w:color w:val="333334"/>
                <w:sz w:val="20"/>
                <w:szCs w:val="20"/>
              </w:rPr>
            </w:pPr>
            <w:r w:rsidRPr="00505080">
              <w:rPr>
                <w:rFonts w:ascii="Calibri" w:eastAsia="Calibri" w:hAnsi="Calibri" w:cs="Calibri"/>
                <w:b/>
                <w:color w:val="333334"/>
                <w:sz w:val="20"/>
                <w:szCs w:val="20"/>
              </w:rPr>
              <w:t>Externship:</w:t>
            </w:r>
          </w:p>
        </w:tc>
        <w:tc>
          <w:tcPr>
            <w:tcW w:w="8370" w:type="dxa"/>
            <w:shd w:val="clear" w:color="auto" w:fill="auto"/>
          </w:tcPr>
          <w:p w:rsidR="007A49EB" w:rsidRPr="00505080" w:rsidRDefault="007A49EB" w:rsidP="00505080">
            <w:pPr>
              <w:autoSpaceDE w:val="0"/>
              <w:autoSpaceDN w:val="0"/>
              <w:adjustRightInd w:val="0"/>
              <w:rPr>
                <w:rFonts w:ascii="Calibri" w:eastAsia="MS Mincho" w:hAnsi="Calibri" w:cs="Calibri"/>
                <w:sz w:val="20"/>
                <w:szCs w:val="20"/>
              </w:rPr>
            </w:pPr>
            <w:r w:rsidRPr="00505080">
              <w:rPr>
                <w:rFonts w:ascii="Calibri" w:eastAsia="MS Mincho" w:hAnsi="Calibri" w:cs="Calibri"/>
                <w:sz w:val="20"/>
                <w:szCs w:val="20"/>
              </w:rPr>
              <w:t xml:space="preserve">An externship or job shadowing experience allows a student to spend several weeks observing and interacting with professionals on the job in a career field of interest. Rarely paid or for academic credit due to the </w:t>
            </w:r>
            <w:proofErr w:type="spellStart"/>
            <w:r w:rsidRPr="00505080">
              <w:rPr>
                <w:rFonts w:ascii="Calibri" w:eastAsia="MS Mincho" w:hAnsi="Calibri" w:cs="Calibri"/>
                <w:sz w:val="20"/>
                <w:szCs w:val="20"/>
              </w:rPr>
              <w:t>short­term</w:t>
            </w:r>
            <w:proofErr w:type="spellEnd"/>
            <w:r w:rsidRPr="00505080">
              <w:rPr>
                <w:rFonts w:ascii="Calibri" w:eastAsia="MS Mincho" w:hAnsi="Calibri" w:cs="Calibri"/>
                <w:sz w:val="20"/>
                <w:szCs w:val="20"/>
              </w:rPr>
              <w:t xml:space="preserve"> nature. Externships can be repeated, for example, occurring over successive winter breaks. Externships are a highly valued option for students who can’t fit into their schedules (or pay the tuition for) an internship during the academic terms.</w:t>
            </w:r>
          </w:p>
        </w:tc>
      </w:tr>
      <w:tr w:rsidR="00505080" w:rsidRPr="00A10B37" w:rsidTr="00505080">
        <w:tc>
          <w:tcPr>
            <w:tcW w:w="2070" w:type="dxa"/>
            <w:shd w:val="clear" w:color="auto" w:fill="EEECE1"/>
          </w:tcPr>
          <w:p w:rsidR="007A49EB" w:rsidRPr="00505080" w:rsidRDefault="007A49EB" w:rsidP="00505080">
            <w:pPr>
              <w:autoSpaceDE w:val="0"/>
              <w:autoSpaceDN w:val="0"/>
              <w:adjustRightInd w:val="0"/>
              <w:rPr>
                <w:rFonts w:ascii="Calibri" w:eastAsia="Calibri" w:hAnsi="Calibri" w:cs="Calibri"/>
                <w:b/>
                <w:color w:val="333334"/>
                <w:sz w:val="20"/>
                <w:szCs w:val="20"/>
              </w:rPr>
            </w:pPr>
            <w:r w:rsidRPr="00505080">
              <w:rPr>
                <w:rFonts w:ascii="Calibri" w:eastAsia="Calibri" w:hAnsi="Calibri" w:cs="Calibri"/>
                <w:b/>
                <w:color w:val="333334"/>
                <w:sz w:val="20"/>
                <w:szCs w:val="20"/>
              </w:rPr>
              <w:t>Field Study:</w:t>
            </w:r>
          </w:p>
        </w:tc>
        <w:tc>
          <w:tcPr>
            <w:tcW w:w="8370" w:type="dxa"/>
            <w:shd w:val="clear" w:color="auto" w:fill="auto"/>
          </w:tcPr>
          <w:p w:rsidR="007A49EB" w:rsidRPr="00505080" w:rsidRDefault="007A49EB" w:rsidP="00512165">
            <w:pPr>
              <w:rPr>
                <w:rFonts w:ascii="Calibri" w:eastAsia="Calibri" w:hAnsi="Calibri" w:cs="Calibri"/>
                <w:sz w:val="20"/>
                <w:szCs w:val="20"/>
              </w:rPr>
            </w:pPr>
            <w:r w:rsidRPr="00505080">
              <w:rPr>
                <w:rFonts w:ascii="Calibri" w:eastAsia="Calibri" w:hAnsi="Calibri" w:cs="Calibri"/>
                <w:sz w:val="20"/>
                <w:szCs w:val="20"/>
              </w:rPr>
              <w:t>Faculty mentored, self-directed work in a field setting that enables students to learn to gather and analyze data, formulate and test hypotheses.</w:t>
            </w:r>
          </w:p>
        </w:tc>
      </w:tr>
      <w:tr w:rsidR="00505080" w:rsidRPr="00A10B37" w:rsidTr="00505080">
        <w:tc>
          <w:tcPr>
            <w:tcW w:w="2070" w:type="dxa"/>
            <w:shd w:val="clear" w:color="auto" w:fill="EEECE1"/>
          </w:tcPr>
          <w:p w:rsidR="007A49EB" w:rsidRPr="00505080" w:rsidRDefault="007A49EB" w:rsidP="00505080">
            <w:pPr>
              <w:autoSpaceDE w:val="0"/>
              <w:autoSpaceDN w:val="0"/>
              <w:adjustRightInd w:val="0"/>
              <w:rPr>
                <w:rFonts w:ascii="Calibri" w:eastAsia="Calibri" w:hAnsi="Calibri" w:cs="Calibri"/>
                <w:b/>
                <w:color w:val="333334"/>
                <w:sz w:val="20"/>
                <w:szCs w:val="20"/>
              </w:rPr>
            </w:pPr>
            <w:r w:rsidRPr="00505080">
              <w:rPr>
                <w:rFonts w:ascii="Calibri" w:eastAsia="Calibri" w:hAnsi="Calibri" w:cs="Calibri"/>
                <w:b/>
                <w:color w:val="333334"/>
                <w:sz w:val="20"/>
                <w:szCs w:val="20"/>
              </w:rPr>
              <w:t>Internship (paid/unpaid):</w:t>
            </w:r>
          </w:p>
        </w:tc>
        <w:tc>
          <w:tcPr>
            <w:tcW w:w="8370" w:type="dxa"/>
            <w:shd w:val="clear" w:color="auto" w:fill="auto"/>
          </w:tcPr>
          <w:p w:rsidR="007A49EB" w:rsidRPr="00505080" w:rsidRDefault="007A49EB" w:rsidP="00505080">
            <w:pPr>
              <w:autoSpaceDE w:val="0"/>
              <w:autoSpaceDN w:val="0"/>
              <w:adjustRightInd w:val="0"/>
              <w:rPr>
                <w:rFonts w:ascii="Calibri" w:eastAsia="MS Mincho" w:hAnsi="Calibri" w:cs="Calibri"/>
                <w:sz w:val="20"/>
                <w:szCs w:val="20"/>
              </w:rPr>
            </w:pPr>
            <w:r w:rsidRPr="00505080">
              <w:rPr>
                <w:rFonts w:ascii="Calibri" w:eastAsia="MS Mincho" w:hAnsi="Calibri" w:cs="Calibri"/>
                <w:sz w:val="20"/>
                <w:szCs w:val="20"/>
              </w:rPr>
              <w:t>Productive work experience in a field related to a student’s academic and career goals. The work experience is formally coordinated with a business, agency, or non­profit organization. Provides students with learning experiences integrating theory and practice. May be credit or non­credit, paid or unpaid. Internship: Internships are typically one­time work or service experiences related to the student’s major or career goal. The internship plan generally involves students working in professional settings under the supervision and monitoring of practicing professionals. Students may or may not receive academic credit for performing the internship. The Federal Government requires that paid internships align with the Fair Labor Standards Act; earning academic credit alone is not considered compensation for services rendered.</w:t>
            </w:r>
          </w:p>
        </w:tc>
      </w:tr>
      <w:tr w:rsidR="00505080" w:rsidRPr="00A10B37" w:rsidTr="00505080">
        <w:tc>
          <w:tcPr>
            <w:tcW w:w="2070" w:type="dxa"/>
            <w:shd w:val="clear" w:color="auto" w:fill="EEECE1"/>
          </w:tcPr>
          <w:p w:rsidR="007A49EB" w:rsidRPr="00505080" w:rsidRDefault="007A49EB" w:rsidP="00505080">
            <w:pPr>
              <w:autoSpaceDE w:val="0"/>
              <w:autoSpaceDN w:val="0"/>
              <w:adjustRightInd w:val="0"/>
              <w:rPr>
                <w:rFonts w:ascii="Calibri" w:eastAsia="Calibri" w:hAnsi="Calibri" w:cs="Calibri"/>
                <w:b/>
                <w:color w:val="333334"/>
                <w:sz w:val="20"/>
                <w:szCs w:val="20"/>
              </w:rPr>
            </w:pPr>
            <w:r w:rsidRPr="00505080">
              <w:rPr>
                <w:rFonts w:ascii="Calibri" w:eastAsia="Calibri" w:hAnsi="Calibri" w:cs="Calibri"/>
                <w:b/>
                <w:color w:val="333334"/>
                <w:sz w:val="20"/>
                <w:szCs w:val="20"/>
              </w:rPr>
              <w:t>Leadership Opportunities:</w:t>
            </w:r>
          </w:p>
        </w:tc>
        <w:tc>
          <w:tcPr>
            <w:tcW w:w="8370" w:type="dxa"/>
            <w:shd w:val="clear" w:color="auto" w:fill="auto"/>
          </w:tcPr>
          <w:p w:rsidR="007A49EB" w:rsidRPr="00505080" w:rsidRDefault="007A49EB" w:rsidP="00512165">
            <w:pPr>
              <w:rPr>
                <w:rFonts w:ascii="Calibri" w:eastAsia="Calibri" w:hAnsi="Calibri" w:cs="Calibri"/>
                <w:sz w:val="20"/>
                <w:szCs w:val="20"/>
              </w:rPr>
            </w:pPr>
            <w:r w:rsidRPr="00505080">
              <w:rPr>
                <w:rFonts w:ascii="Calibri" w:eastAsia="Calibri" w:hAnsi="Calibri" w:cs="Calibri"/>
                <w:sz w:val="20"/>
                <w:szCs w:val="20"/>
              </w:rPr>
              <w:t xml:space="preserve">Performing in leadership roles in any recognized and approved organization on or off campus. For purposes of applied learning, leadership involves assuming the work of </w:t>
            </w:r>
            <w:proofErr w:type="spellStart"/>
            <w:r w:rsidRPr="00505080">
              <w:rPr>
                <w:rFonts w:ascii="Calibri" w:eastAsia="Calibri" w:hAnsi="Calibri" w:cs="Calibri"/>
                <w:sz w:val="20"/>
                <w:szCs w:val="20"/>
              </w:rPr>
              <w:t>change­making</w:t>
            </w:r>
            <w:proofErr w:type="spellEnd"/>
            <w:r w:rsidRPr="00505080">
              <w:rPr>
                <w:rFonts w:ascii="Calibri" w:eastAsia="Calibri" w:hAnsi="Calibri" w:cs="Calibri"/>
                <w:sz w:val="20"/>
                <w:szCs w:val="20"/>
              </w:rPr>
              <w:t xml:space="preserve">, </w:t>
            </w:r>
            <w:proofErr w:type="spellStart"/>
            <w:r w:rsidRPr="00505080">
              <w:rPr>
                <w:rFonts w:ascii="Calibri" w:eastAsia="Calibri" w:hAnsi="Calibri" w:cs="Calibri"/>
                <w:sz w:val="20"/>
                <w:szCs w:val="20"/>
              </w:rPr>
              <w:t>team­management</w:t>
            </w:r>
            <w:proofErr w:type="spellEnd"/>
            <w:r w:rsidRPr="00505080">
              <w:rPr>
                <w:rFonts w:ascii="Calibri" w:eastAsia="Calibri" w:hAnsi="Calibri" w:cs="Calibri"/>
                <w:sz w:val="20"/>
                <w:szCs w:val="20"/>
              </w:rPr>
              <w:t xml:space="preserve">, </w:t>
            </w:r>
            <w:proofErr w:type="spellStart"/>
            <w:r w:rsidRPr="00505080">
              <w:rPr>
                <w:rFonts w:ascii="Calibri" w:eastAsia="Calibri" w:hAnsi="Calibri" w:cs="Calibri"/>
                <w:sz w:val="20"/>
                <w:szCs w:val="20"/>
              </w:rPr>
              <w:t>mission­development</w:t>
            </w:r>
            <w:proofErr w:type="spellEnd"/>
            <w:r w:rsidRPr="00505080">
              <w:rPr>
                <w:rFonts w:ascii="Calibri" w:eastAsia="Calibri" w:hAnsi="Calibri" w:cs="Calibri"/>
                <w:sz w:val="20"/>
                <w:szCs w:val="20"/>
              </w:rPr>
              <w:t xml:space="preserve">, </w:t>
            </w:r>
            <w:proofErr w:type="spellStart"/>
            <w:proofErr w:type="gramStart"/>
            <w:r w:rsidRPr="00505080">
              <w:rPr>
                <w:rFonts w:ascii="Calibri" w:eastAsia="Calibri" w:hAnsi="Calibri" w:cs="Calibri"/>
                <w:sz w:val="20"/>
                <w:szCs w:val="20"/>
              </w:rPr>
              <w:t>project­management</w:t>
            </w:r>
            <w:proofErr w:type="spellEnd"/>
            <w:proofErr w:type="gramEnd"/>
            <w:r w:rsidRPr="00505080">
              <w:rPr>
                <w:rFonts w:ascii="Calibri" w:eastAsia="Calibri" w:hAnsi="Calibri" w:cs="Calibri"/>
                <w:sz w:val="20"/>
                <w:szCs w:val="20"/>
              </w:rPr>
              <w:t xml:space="preserve"> and outcomes assessment. Examples would include: resident assistant, Student Association senator or executive council, orientation leaders, peer career assistants, being an officer in a Student Association recognized club or organization.</w:t>
            </w:r>
          </w:p>
        </w:tc>
      </w:tr>
    </w:tbl>
    <w:p w:rsidR="007A49EB" w:rsidRDefault="007A49EB" w:rsidP="005E12C6">
      <w:pPr>
        <w:shd w:val="clear" w:color="auto" w:fill="FFFFFF"/>
        <w:spacing w:before="48" w:after="75"/>
        <w:outlineLvl w:val="0"/>
      </w:pPr>
    </w:p>
    <w:p w:rsidR="007A49EB" w:rsidRDefault="007A49EB" w:rsidP="005E12C6">
      <w:pPr>
        <w:shd w:val="clear" w:color="auto" w:fill="FFFFFF"/>
        <w:spacing w:before="48" w:after="75"/>
        <w:outlineLvl w:val="0"/>
      </w:pPr>
    </w:p>
    <w:p w:rsidR="007A49EB" w:rsidRDefault="007A49EB" w:rsidP="005E12C6">
      <w:pPr>
        <w:shd w:val="clear" w:color="auto" w:fill="FFFFFF"/>
        <w:spacing w:before="48" w:after="75"/>
        <w:outlineLvl w:val="0"/>
      </w:pPr>
    </w:p>
    <w:p w:rsidR="007A49EB" w:rsidRDefault="007A49EB" w:rsidP="005E12C6">
      <w:pPr>
        <w:shd w:val="clear" w:color="auto" w:fill="FFFFFF"/>
        <w:spacing w:before="48" w:after="75"/>
        <w:outlineLvl w:val="0"/>
      </w:pPr>
    </w:p>
    <w:p w:rsidR="007A49EB" w:rsidRDefault="007A49EB" w:rsidP="005E12C6">
      <w:pPr>
        <w:shd w:val="clear" w:color="auto" w:fill="FFFFFF"/>
        <w:spacing w:before="48" w:after="75"/>
        <w:outlineLvl w:val="0"/>
      </w:pPr>
    </w:p>
    <w:p w:rsidR="007A49EB" w:rsidRDefault="007A49EB" w:rsidP="005E12C6">
      <w:pPr>
        <w:shd w:val="clear" w:color="auto" w:fill="FFFFFF"/>
        <w:spacing w:before="48" w:after="75"/>
        <w:outlineLvl w:val="0"/>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370"/>
      </w:tblGrid>
      <w:tr w:rsidR="00505080" w:rsidRPr="00A10B37" w:rsidTr="00505080">
        <w:tc>
          <w:tcPr>
            <w:tcW w:w="2070" w:type="dxa"/>
            <w:shd w:val="clear" w:color="auto" w:fill="EEECE1"/>
          </w:tcPr>
          <w:p w:rsidR="007A49EB" w:rsidRPr="00505080" w:rsidRDefault="007A49EB" w:rsidP="00505080">
            <w:pPr>
              <w:autoSpaceDE w:val="0"/>
              <w:autoSpaceDN w:val="0"/>
              <w:adjustRightInd w:val="0"/>
              <w:rPr>
                <w:rFonts w:ascii="Calibri" w:eastAsia="Calibri" w:hAnsi="Calibri" w:cs="Calibri"/>
                <w:b/>
                <w:color w:val="333334"/>
                <w:sz w:val="20"/>
                <w:szCs w:val="20"/>
              </w:rPr>
            </w:pPr>
            <w:r w:rsidRPr="00505080">
              <w:rPr>
                <w:rFonts w:ascii="Calibri" w:eastAsia="Calibri" w:hAnsi="Calibri" w:cs="Calibri"/>
                <w:b/>
                <w:color w:val="333334"/>
                <w:sz w:val="20"/>
                <w:szCs w:val="20"/>
              </w:rPr>
              <w:t>Practicum Placements (including student teaching and clinicals):</w:t>
            </w:r>
          </w:p>
        </w:tc>
        <w:tc>
          <w:tcPr>
            <w:tcW w:w="8370" w:type="dxa"/>
            <w:shd w:val="clear" w:color="auto" w:fill="auto"/>
          </w:tcPr>
          <w:p w:rsidR="007A49EB" w:rsidRPr="00505080" w:rsidRDefault="007A49EB" w:rsidP="00512165">
            <w:pPr>
              <w:rPr>
                <w:rFonts w:ascii="Calibri" w:eastAsia="MS Mincho" w:hAnsi="Calibri" w:cs="Calibri"/>
                <w:sz w:val="20"/>
                <w:szCs w:val="20"/>
              </w:rPr>
            </w:pPr>
            <w:r w:rsidRPr="00505080">
              <w:rPr>
                <w:rFonts w:ascii="Calibri" w:eastAsia="MS Mincho" w:hAnsi="Calibri" w:cs="Calibri"/>
                <w:sz w:val="20"/>
                <w:szCs w:val="20"/>
              </w:rPr>
              <w:t xml:space="preserve">A supervised, </w:t>
            </w:r>
            <w:proofErr w:type="spellStart"/>
            <w:r w:rsidRPr="00505080">
              <w:rPr>
                <w:rFonts w:ascii="Calibri" w:eastAsia="MS Mincho" w:hAnsi="Calibri" w:cs="Calibri"/>
                <w:sz w:val="20"/>
                <w:szCs w:val="20"/>
              </w:rPr>
              <w:t>credit­bearing</w:t>
            </w:r>
            <w:proofErr w:type="spellEnd"/>
            <w:r w:rsidRPr="00505080">
              <w:rPr>
                <w:rFonts w:ascii="Calibri" w:eastAsia="MS Mincho" w:hAnsi="Calibri" w:cs="Calibri"/>
                <w:sz w:val="20"/>
                <w:szCs w:val="20"/>
              </w:rPr>
              <w:t xml:space="preserve"> immersion experience related to the student’s immediate career or academic goals. Some offer pay, but most don't. Almost all are done for academic credit. Student teaching: under the tutelage and supervision of a master cooperating teacher, formally arranged by director of the teacher education program, and within a public or private school setting or district. Clinical experiences: practical experience in client care, supervised by a preceptor or faculty, formally arranged with a medical or agency facility, for credit as part of curriculum for the program.</w:t>
            </w:r>
          </w:p>
        </w:tc>
      </w:tr>
      <w:tr w:rsidR="00505080" w:rsidRPr="00A10B37" w:rsidTr="00505080">
        <w:tc>
          <w:tcPr>
            <w:tcW w:w="2070" w:type="dxa"/>
            <w:shd w:val="clear" w:color="auto" w:fill="EEECE1"/>
          </w:tcPr>
          <w:p w:rsidR="007A49EB" w:rsidRPr="00505080" w:rsidRDefault="007A49EB" w:rsidP="00505080">
            <w:pPr>
              <w:autoSpaceDE w:val="0"/>
              <w:autoSpaceDN w:val="0"/>
              <w:adjustRightInd w:val="0"/>
              <w:rPr>
                <w:rFonts w:ascii="Calibri" w:eastAsia="Calibri" w:hAnsi="Calibri" w:cs="Calibri"/>
                <w:b/>
                <w:color w:val="333334"/>
                <w:sz w:val="20"/>
                <w:szCs w:val="20"/>
              </w:rPr>
            </w:pPr>
            <w:r w:rsidRPr="00505080">
              <w:rPr>
                <w:rFonts w:ascii="Calibri" w:eastAsia="Calibri" w:hAnsi="Calibri" w:cs="Calibri"/>
                <w:b/>
                <w:color w:val="333334"/>
                <w:sz w:val="20"/>
                <w:szCs w:val="20"/>
              </w:rPr>
              <w:t>Service Learning:</w:t>
            </w:r>
          </w:p>
        </w:tc>
        <w:tc>
          <w:tcPr>
            <w:tcW w:w="8370" w:type="dxa"/>
            <w:shd w:val="clear" w:color="auto" w:fill="auto"/>
          </w:tcPr>
          <w:p w:rsidR="007A49EB" w:rsidRPr="00505080" w:rsidRDefault="007A49EB" w:rsidP="00505080">
            <w:pPr>
              <w:autoSpaceDE w:val="0"/>
              <w:autoSpaceDN w:val="0"/>
              <w:adjustRightInd w:val="0"/>
              <w:rPr>
                <w:rFonts w:ascii="Calibri" w:eastAsia="MS Mincho" w:hAnsi="Calibri" w:cs="Calibri"/>
                <w:sz w:val="20"/>
                <w:szCs w:val="20"/>
              </w:rPr>
            </w:pPr>
            <w:r w:rsidRPr="00505080">
              <w:rPr>
                <w:rFonts w:ascii="Calibri" w:eastAsia="MS Mincho" w:hAnsi="Calibri" w:cs="Calibri"/>
                <w:sz w:val="20"/>
                <w:szCs w:val="20"/>
              </w:rPr>
              <w:t>The integration of meaningful community service relevant to a class subject matter. Always for academic credit and requires substantial and sustained reflective learning, as evidenced by a journal (electronic, written) or some other method to demonstrate synthesis between classroom content and community application.</w:t>
            </w:r>
          </w:p>
        </w:tc>
      </w:tr>
      <w:tr w:rsidR="00505080" w:rsidRPr="00A10B37" w:rsidTr="00505080">
        <w:tc>
          <w:tcPr>
            <w:tcW w:w="2070" w:type="dxa"/>
            <w:shd w:val="clear" w:color="auto" w:fill="EEECE1"/>
          </w:tcPr>
          <w:p w:rsidR="007A49EB" w:rsidRPr="00505080" w:rsidRDefault="007A49EB" w:rsidP="00505080">
            <w:pPr>
              <w:autoSpaceDE w:val="0"/>
              <w:autoSpaceDN w:val="0"/>
              <w:adjustRightInd w:val="0"/>
              <w:rPr>
                <w:rFonts w:ascii="Calibri" w:eastAsia="Calibri" w:hAnsi="Calibri" w:cs="Calibri"/>
                <w:b/>
                <w:bCs/>
                <w:color w:val="333334"/>
                <w:sz w:val="20"/>
                <w:szCs w:val="20"/>
              </w:rPr>
            </w:pPr>
            <w:r w:rsidRPr="00505080">
              <w:rPr>
                <w:rFonts w:ascii="Calibri" w:eastAsia="Calibri" w:hAnsi="Calibri" w:cs="Calibri"/>
                <w:b/>
                <w:bCs/>
                <w:color w:val="333334"/>
                <w:sz w:val="20"/>
                <w:szCs w:val="20"/>
              </w:rPr>
              <w:t>Structured Community Service:</w:t>
            </w:r>
          </w:p>
        </w:tc>
        <w:tc>
          <w:tcPr>
            <w:tcW w:w="8370" w:type="dxa"/>
            <w:shd w:val="clear" w:color="auto" w:fill="auto"/>
          </w:tcPr>
          <w:p w:rsidR="007A49EB" w:rsidRPr="00505080" w:rsidRDefault="007A49EB" w:rsidP="00512165">
            <w:pPr>
              <w:rPr>
                <w:rFonts w:ascii="Calibri" w:eastAsia="Calibri" w:hAnsi="Calibri" w:cs="Calibri"/>
                <w:sz w:val="20"/>
                <w:szCs w:val="20"/>
              </w:rPr>
            </w:pPr>
            <w:r w:rsidRPr="00505080">
              <w:rPr>
                <w:rFonts w:ascii="Calibri" w:eastAsia="Calibri" w:hAnsi="Calibri" w:cs="Calibri"/>
                <w:sz w:val="20"/>
                <w:szCs w:val="20"/>
              </w:rPr>
              <w:t>Volunteerism and community service performed by students for community benefit with clear objectives and purposes, and organized or sanctioned by the university or civic office. This service is not necessarily tied to learning outcomes or a particular program of study and may include structured projects (days of service), smaller group projects, fund-raising events, or individual volunteerism attached to a sustained and organized project and which is acknowledged by the campus.</w:t>
            </w:r>
          </w:p>
        </w:tc>
      </w:tr>
      <w:tr w:rsidR="00505080" w:rsidRPr="00A10B37" w:rsidTr="00505080">
        <w:tc>
          <w:tcPr>
            <w:tcW w:w="2070" w:type="dxa"/>
            <w:shd w:val="clear" w:color="auto" w:fill="EEECE1"/>
          </w:tcPr>
          <w:p w:rsidR="007A49EB" w:rsidRPr="00505080" w:rsidRDefault="007A49EB" w:rsidP="00505080">
            <w:pPr>
              <w:autoSpaceDE w:val="0"/>
              <w:autoSpaceDN w:val="0"/>
              <w:adjustRightInd w:val="0"/>
              <w:rPr>
                <w:rFonts w:ascii="Calibri" w:eastAsia="Calibri" w:hAnsi="Calibri" w:cs="Calibri"/>
                <w:b/>
                <w:color w:val="333334"/>
                <w:sz w:val="20"/>
                <w:szCs w:val="20"/>
              </w:rPr>
            </w:pPr>
            <w:r w:rsidRPr="00505080">
              <w:rPr>
                <w:rFonts w:ascii="Calibri" w:eastAsia="Calibri" w:hAnsi="Calibri" w:cs="Calibri"/>
                <w:b/>
                <w:color w:val="333334"/>
                <w:sz w:val="20"/>
                <w:szCs w:val="20"/>
              </w:rPr>
              <w:t>Teaching Assistantships:</w:t>
            </w:r>
          </w:p>
        </w:tc>
        <w:tc>
          <w:tcPr>
            <w:tcW w:w="8370" w:type="dxa"/>
            <w:shd w:val="clear" w:color="auto" w:fill="auto"/>
          </w:tcPr>
          <w:p w:rsidR="007A49EB" w:rsidRPr="00505080" w:rsidRDefault="007A49EB" w:rsidP="00505080">
            <w:pPr>
              <w:autoSpaceDE w:val="0"/>
              <w:autoSpaceDN w:val="0"/>
              <w:adjustRightInd w:val="0"/>
              <w:rPr>
                <w:rFonts w:ascii="Calibri" w:eastAsia="MS Mincho" w:hAnsi="Calibri" w:cs="Calibri"/>
                <w:sz w:val="20"/>
                <w:szCs w:val="20"/>
              </w:rPr>
            </w:pPr>
            <w:r w:rsidRPr="00505080">
              <w:rPr>
                <w:rFonts w:ascii="Calibri" w:eastAsia="MS Mincho" w:hAnsi="Calibri" w:cs="Calibri"/>
                <w:sz w:val="20"/>
                <w:szCs w:val="20"/>
              </w:rPr>
              <w:t xml:space="preserve">Work that assists a faculty member with substantial instruction or classroom activity. Teaching assistantships go well beyond marking quizzes or exams and would include developing learning content, supportive resource materials, providing tutorial or supplemental learning experiences, and/or facilitating in­ or </w:t>
            </w:r>
            <w:proofErr w:type="spellStart"/>
            <w:r w:rsidRPr="00505080">
              <w:rPr>
                <w:rFonts w:ascii="Calibri" w:eastAsia="MS Mincho" w:hAnsi="Calibri" w:cs="Calibri"/>
                <w:sz w:val="20"/>
                <w:szCs w:val="20"/>
              </w:rPr>
              <w:t>out­of</w:t>
            </w:r>
            <w:proofErr w:type="spellEnd"/>
            <w:r w:rsidRPr="00505080">
              <w:rPr>
                <w:rFonts w:ascii="Calibri" w:eastAsia="MS Mincho" w:hAnsi="Calibri" w:cs="Calibri"/>
                <w:sz w:val="20"/>
                <w:szCs w:val="20"/>
              </w:rPr>
              <w:t xml:space="preserve"> class learning activities.</w:t>
            </w:r>
          </w:p>
        </w:tc>
      </w:tr>
      <w:tr w:rsidR="00505080" w:rsidRPr="00A10B37" w:rsidTr="00505080">
        <w:tc>
          <w:tcPr>
            <w:tcW w:w="2070" w:type="dxa"/>
            <w:shd w:val="clear" w:color="auto" w:fill="EEECE1"/>
          </w:tcPr>
          <w:p w:rsidR="007A49EB" w:rsidRPr="00505080" w:rsidRDefault="007A49EB" w:rsidP="00505080">
            <w:pPr>
              <w:autoSpaceDE w:val="0"/>
              <w:autoSpaceDN w:val="0"/>
              <w:adjustRightInd w:val="0"/>
              <w:rPr>
                <w:rFonts w:ascii="Calibri" w:eastAsia="Calibri" w:hAnsi="Calibri" w:cs="Calibri"/>
                <w:b/>
                <w:color w:val="333334"/>
                <w:sz w:val="20"/>
                <w:szCs w:val="20"/>
              </w:rPr>
            </w:pPr>
            <w:r w:rsidRPr="00505080">
              <w:rPr>
                <w:rFonts w:ascii="Calibri" w:eastAsia="Calibri" w:hAnsi="Calibri" w:cs="Calibri"/>
                <w:b/>
                <w:color w:val="333334"/>
                <w:sz w:val="20"/>
                <w:szCs w:val="20"/>
              </w:rPr>
              <w:t>Original Research:</w:t>
            </w:r>
          </w:p>
        </w:tc>
        <w:tc>
          <w:tcPr>
            <w:tcW w:w="8370" w:type="dxa"/>
            <w:shd w:val="clear" w:color="auto" w:fill="auto"/>
          </w:tcPr>
          <w:p w:rsidR="007A49EB" w:rsidRPr="00505080" w:rsidRDefault="007A49EB" w:rsidP="00505080">
            <w:pPr>
              <w:autoSpaceDE w:val="0"/>
              <w:autoSpaceDN w:val="0"/>
              <w:adjustRightInd w:val="0"/>
              <w:rPr>
                <w:rFonts w:ascii="Calibri" w:eastAsia="MS Mincho" w:hAnsi="Calibri" w:cs="Calibri"/>
                <w:sz w:val="20"/>
                <w:szCs w:val="20"/>
              </w:rPr>
            </w:pPr>
            <w:r w:rsidRPr="00505080">
              <w:rPr>
                <w:rFonts w:ascii="Calibri" w:eastAsia="MS Mincho" w:hAnsi="Calibri" w:cs="Calibri"/>
                <w:sz w:val="20"/>
                <w:szCs w:val="20"/>
              </w:rPr>
              <w:t xml:space="preserve">Faculty mentored, </w:t>
            </w:r>
            <w:proofErr w:type="spellStart"/>
            <w:r w:rsidRPr="00505080">
              <w:rPr>
                <w:rFonts w:ascii="Calibri" w:eastAsia="MS Mincho" w:hAnsi="Calibri" w:cs="Calibri"/>
                <w:sz w:val="20"/>
                <w:szCs w:val="20"/>
              </w:rPr>
              <w:t>self­directed</w:t>
            </w:r>
            <w:proofErr w:type="spellEnd"/>
            <w:r w:rsidRPr="00505080">
              <w:rPr>
                <w:rFonts w:ascii="Calibri" w:eastAsia="MS Mincho" w:hAnsi="Calibri" w:cs="Calibri"/>
                <w:sz w:val="20"/>
                <w:szCs w:val="20"/>
              </w:rPr>
              <w:t xml:space="preserve"> research or scholarship project that is part of a faculty member’s research program or project, or independent scholarly work by a student under faculty guidance. May include laboratory research, field research, or archival scholarship. May be credit bearing, or not. Wages may be attached if the research is grant funded and wages are included in the approved expenditures of the grant parameters.</w:t>
            </w:r>
          </w:p>
        </w:tc>
      </w:tr>
      <w:tr w:rsidR="00505080" w:rsidRPr="00A10B37" w:rsidTr="00505080">
        <w:tc>
          <w:tcPr>
            <w:tcW w:w="2070" w:type="dxa"/>
            <w:shd w:val="clear" w:color="auto" w:fill="EEECE1"/>
          </w:tcPr>
          <w:p w:rsidR="007A49EB" w:rsidRPr="00505080" w:rsidRDefault="007A49EB" w:rsidP="00505080">
            <w:pPr>
              <w:autoSpaceDE w:val="0"/>
              <w:autoSpaceDN w:val="0"/>
              <w:adjustRightInd w:val="0"/>
              <w:rPr>
                <w:rFonts w:ascii="Calibri" w:eastAsia="Calibri" w:hAnsi="Calibri" w:cs="Calibri"/>
                <w:b/>
                <w:color w:val="333334"/>
                <w:sz w:val="20"/>
                <w:szCs w:val="20"/>
              </w:rPr>
            </w:pPr>
            <w:r w:rsidRPr="00505080">
              <w:rPr>
                <w:rFonts w:ascii="Calibri" w:eastAsia="Calibri" w:hAnsi="Calibri" w:cs="Calibri"/>
                <w:b/>
                <w:color w:val="333334"/>
                <w:sz w:val="20"/>
                <w:szCs w:val="20"/>
              </w:rPr>
              <w:t>Replication Research:</w:t>
            </w:r>
          </w:p>
        </w:tc>
        <w:tc>
          <w:tcPr>
            <w:tcW w:w="8370" w:type="dxa"/>
            <w:shd w:val="clear" w:color="auto" w:fill="auto"/>
          </w:tcPr>
          <w:p w:rsidR="007A49EB" w:rsidRPr="00505080" w:rsidRDefault="007A49EB" w:rsidP="00505080">
            <w:pPr>
              <w:autoSpaceDE w:val="0"/>
              <w:autoSpaceDN w:val="0"/>
              <w:adjustRightInd w:val="0"/>
              <w:rPr>
                <w:rFonts w:eastAsia="MS Mincho" w:cs="Calibri"/>
                <w:sz w:val="20"/>
                <w:szCs w:val="20"/>
              </w:rPr>
            </w:pPr>
            <w:r w:rsidRPr="00505080">
              <w:rPr>
                <w:rFonts w:ascii="Calibri" w:eastAsia="MS Mincho" w:hAnsi="Calibri" w:cs="Calibri"/>
                <w:sz w:val="20"/>
                <w:szCs w:val="20"/>
              </w:rPr>
              <w:t>Faculty guided replications and/or extensions of extant research or scholarship. These experiences are “hands on” and require that students engage in the process of scientific inquiry in a structured setting. May be part of a lab component of an existing course.</w:t>
            </w:r>
          </w:p>
        </w:tc>
      </w:tr>
      <w:tr w:rsidR="00505080" w:rsidRPr="00A10B37" w:rsidTr="00505080">
        <w:tc>
          <w:tcPr>
            <w:tcW w:w="2070" w:type="dxa"/>
            <w:shd w:val="clear" w:color="auto" w:fill="EEECE1"/>
          </w:tcPr>
          <w:p w:rsidR="007A49EB" w:rsidRPr="00505080" w:rsidRDefault="007A49EB" w:rsidP="00505080">
            <w:pPr>
              <w:autoSpaceDE w:val="0"/>
              <w:autoSpaceDN w:val="0"/>
              <w:adjustRightInd w:val="0"/>
              <w:rPr>
                <w:rFonts w:ascii="Calibri" w:eastAsia="Calibri" w:hAnsi="Calibri" w:cs="Calibri"/>
                <w:b/>
                <w:color w:val="333334"/>
                <w:sz w:val="20"/>
                <w:szCs w:val="20"/>
              </w:rPr>
            </w:pPr>
            <w:r w:rsidRPr="00505080">
              <w:rPr>
                <w:rFonts w:ascii="Calibri" w:eastAsia="Calibri" w:hAnsi="Calibri" w:cs="Calibri"/>
                <w:b/>
                <w:color w:val="333334"/>
                <w:sz w:val="20"/>
                <w:szCs w:val="20"/>
              </w:rPr>
              <w:t>Workforce Development:</w:t>
            </w:r>
          </w:p>
        </w:tc>
        <w:tc>
          <w:tcPr>
            <w:tcW w:w="8370" w:type="dxa"/>
            <w:shd w:val="clear" w:color="auto" w:fill="auto"/>
          </w:tcPr>
          <w:p w:rsidR="007A49EB" w:rsidRPr="00505080" w:rsidRDefault="007A49EB" w:rsidP="00505080">
            <w:pPr>
              <w:autoSpaceDE w:val="0"/>
              <w:autoSpaceDN w:val="0"/>
              <w:adjustRightInd w:val="0"/>
              <w:rPr>
                <w:rFonts w:ascii="Calibri" w:eastAsia="MS Mincho" w:hAnsi="Calibri" w:cs="Calibri"/>
                <w:sz w:val="20"/>
                <w:szCs w:val="20"/>
              </w:rPr>
            </w:pPr>
            <w:r w:rsidRPr="00505080">
              <w:rPr>
                <w:rFonts w:ascii="Calibri" w:eastAsia="MS Mincho" w:hAnsi="Calibri" w:cs="Calibri"/>
                <w:sz w:val="20"/>
                <w:szCs w:val="20"/>
              </w:rPr>
              <w:t xml:space="preserve">Specific and sustained training on precise skills necessary for employment in particular jobs or industry sectors, separate from academic course instruction. Not for credit. Examples might include student employment (including </w:t>
            </w:r>
            <w:proofErr w:type="spellStart"/>
            <w:r w:rsidRPr="00505080">
              <w:rPr>
                <w:rFonts w:ascii="Calibri" w:eastAsia="MS Mincho" w:hAnsi="Calibri" w:cs="Calibri"/>
                <w:sz w:val="20"/>
                <w:szCs w:val="20"/>
              </w:rPr>
              <w:t>work­study</w:t>
            </w:r>
            <w:proofErr w:type="spellEnd"/>
            <w:r w:rsidRPr="00505080">
              <w:rPr>
                <w:rFonts w:ascii="Calibri" w:eastAsia="MS Mincho" w:hAnsi="Calibri" w:cs="Calibri"/>
                <w:sz w:val="20"/>
                <w:szCs w:val="20"/>
              </w:rPr>
              <w:t>), skills seminars and short courses.</w:t>
            </w:r>
          </w:p>
        </w:tc>
      </w:tr>
    </w:tbl>
    <w:p w:rsidR="00541449" w:rsidRPr="00C63183" w:rsidRDefault="00541449" w:rsidP="005E12C6">
      <w:pPr>
        <w:shd w:val="clear" w:color="auto" w:fill="FFFFFF"/>
        <w:spacing w:before="48" w:after="75"/>
        <w:outlineLvl w:val="0"/>
        <w:rPr>
          <w:rFonts w:ascii="AauxRegular" w:hAnsi="AauxRegular"/>
          <w:color w:val="454545"/>
          <w:sz w:val="26"/>
          <w:szCs w:val="26"/>
        </w:rPr>
      </w:pPr>
      <w:r>
        <w:rPr>
          <w:rFonts w:ascii="AauxRegular" w:hAnsi="AauxRegular"/>
          <w:color w:val="454545"/>
          <w:sz w:val="26"/>
          <w:szCs w:val="26"/>
        </w:rPr>
        <w:t xml:space="preserve"> </w:t>
      </w:r>
    </w:p>
    <w:p w:rsidR="00541449" w:rsidRPr="00614235" w:rsidRDefault="00541449" w:rsidP="000B766B"/>
    <w:sectPr w:rsidR="00541449" w:rsidRPr="00614235" w:rsidSect="00F45914">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E61" w:rsidRDefault="00540E61" w:rsidP="00F45914">
      <w:r>
        <w:separator/>
      </w:r>
    </w:p>
  </w:endnote>
  <w:endnote w:type="continuationSeparator" w:id="0">
    <w:p w:rsidR="00540E61" w:rsidRDefault="00540E61" w:rsidP="00F4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 LT Std 65 Medium">
    <w:panose1 w:val="00000000000000000000"/>
    <w:charset w:val="00"/>
    <w:family w:val="swiss"/>
    <w:notTrueType/>
    <w:pitch w:val="variable"/>
    <w:sig w:usb0="800000AF" w:usb1="40002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aux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C6" w:rsidRDefault="00FF3E17">
    <w:pPr>
      <w:pStyle w:val="Footer"/>
      <w:framePr w:wrap="around" w:vAnchor="text" w:hAnchor="margin" w:xAlign="right" w:y="1"/>
      <w:rPr>
        <w:rStyle w:val="PageNumber"/>
      </w:rPr>
    </w:pPr>
    <w:r>
      <w:rPr>
        <w:rStyle w:val="PageNumber"/>
      </w:rPr>
      <w:fldChar w:fldCharType="begin"/>
    </w:r>
    <w:r w:rsidR="000B36C6">
      <w:rPr>
        <w:rStyle w:val="PageNumber"/>
      </w:rPr>
      <w:instrText xml:space="preserve">PAGE  </w:instrText>
    </w:r>
    <w:r>
      <w:rPr>
        <w:rStyle w:val="PageNumber"/>
      </w:rPr>
      <w:fldChar w:fldCharType="end"/>
    </w:r>
  </w:p>
  <w:p w:rsidR="000B36C6" w:rsidRDefault="000B36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C6" w:rsidRDefault="00FF3E17">
    <w:pPr>
      <w:pStyle w:val="Footer"/>
      <w:framePr w:wrap="around" w:vAnchor="text" w:hAnchor="margin" w:xAlign="right" w:y="1"/>
      <w:rPr>
        <w:rStyle w:val="PageNumber"/>
      </w:rPr>
    </w:pPr>
    <w:r>
      <w:rPr>
        <w:rStyle w:val="PageNumber"/>
      </w:rPr>
      <w:fldChar w:fldCharType="begin"/>
    </w:r>
    <w:r w:rsidR="000B36C6">
      <w:rPr>
        <w:rStyle w:val="PageNumber"/>
      </w:rPr>
      <w:instrText xml:space="preserve">PAGE  </w:instrText>
    </w:r>
    <w:r>
      <w:rPr>
        <w:rStyle w:val="PageNumber"/>
      </w:rPr>
      <w:fldChar w:fldCharType="separate"/>
    </w:r>
    <w:r w:rsidR="004F5C04">
      <w:rPr>
        <w:rStyle w:val="PageNumber"/>
        <w:noProof/>
      </w:rPr>
      <w:t>6</w:t>
    </w:r>
    <w:r>
      <w:rPr>
        <w:rStyle w:val="PageNumber"/>
      </w:rPr>
      <w:fldChar w:fldCharType="end"/>
    </w:r>
  </w:p>
  <w:p w:rsidR="000B36C6" w:rsidRDefault="000B36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E61" w:rsidRDefault="00540E61" w:rsidP="00F45914">
      <w:r>
        <w:separator/>
      </w:r>
    </w:p>
  </w:footnote>
  <w:footnote w:type="continuationSeparator" w:id="0">
    <w:p w:rsidR="00540E61" w:rsidRDefault="00540E61" w:rsidP="00F45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3484"/>
    <w:multiLevelType w:val="multilevel"/>
    <w:tmpl w:val="F112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B56B5"/>
    <w:multiLevelType w:val="hybridMultilevel"/>
    <w:tmpl w:val="D9F40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D0264"/>
    <w:multiLevelType w:val="hybridMultilevel"/>
    <w:tmpl w:val="D9D2D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540A39"/>
    <w:multiLevelType w:val="hybridMultilevel"/>
    <w:tmpl w:val="D14CF004"/>
    <w:lvl w:ilvl="0" w:tplc="E9FCF2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8B39EF"/>
    <w:multiLevelType w:val="hybridMultilevel"/>
    <w:tmpl w:val="178219E6"/>
    <w:lvl w:ilvl="0" w:tplc="A0208B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72625"/>
    <w:multiLevelType w:val="hybridMultilevel"/>
    <w:tmpl w:val="DC66DD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FA7FD5"/>
    <w:multiLevelType w:val="hybridMultilevel"/>
    <w:tmpl w:val="31C6F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B1041"/>
    <w:multiLevelType w:val="multilevel"/>
    <w:tmpl w:val="5C18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76BA4"/>
    <w:multiLevelType w:val="hybridMultilevel"/>
    <w:tmpl w:val="C65AEB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3936B6"/>
    <w:multiLevelType w:val="hybridMultilevel"/>
    <w:tmpl w:val="565682AA"/>
    <w:lvl w:ilvl="0" w:tplc="2F10CE84">
      <w:start w:val="1"/>
      <w:numFmt w:val="decimal"/>
      <w:lvlText w:val="%1)"/>
      <w:lvlJc w:val="left"/>
      <w:pPr>
        <w:tabs>
          <w:tab w:val="num" w:pos="720"/>
        </w:tabs>
        <w:ind w:left="720" w:hanging="360"/>
      </w:pPr>
    </w:lvl>
    <w:lvl w:ilvl="1" w:tplc="536E19FE" w:tentative="1">
      <w:start w:val="1"/>
      <w:numFmt w:val="decimal"/>
      <w:lvlText w:val="%2)"/>
      <w:lvlJc w:val="left"/>
      <w:pPr>
        <w:tabs>
          <w:tab w:val="num" w:pos="1440"/>
        </w:tabs>
        <w:ind w:left="1440" w:hanging="360"/>
      </w:pPr>
    </w:lvl>
    <w:lvl w:ilvl="2" w:tplc="A062441A">
      <w:start w:val="1"/>
      <w:numFmt w:val="decimal"/>
      <w:lvlText w:val="%3)"/>
      <w:lvlJc w:val="left"/>
      <w:pPr>
        <w:tabs>
          <w:tab w:val="num" w:pos="2160"/>
        </w:tabs>
        <w:ind w:left="2160" w:hanging="360"/>
      </w:pPr>
    </w:lvl>
    <w:lvl w:ilvl="3" w:tplc="FEEAEEBC" w:tentative="1">
      <w:start w:val="1"/>
      <w:numFmt w:val="decimal"/>
      <w:lvlText w:val="%4)"/>
      <w:lvlJc w:val="left"/>
      <w:pPr>
        <w:tabs>
          <w:tab w:val="num" w:pos="2880"/>
        </w:tabs>
        <w:ind w:left="2880" w:hanging="360"/>
      </w:pPr>
    </w:lvl>
    <w:lvl w:ilvl="4" w:tplc="51C4432A" w:tentative="1">
      <w:start w:val="1"/>
      <w:numFmt w:val="decimal"/>
      <w:lvlText w:val="%5)"/>
      <w:lvlJc w:val="left"/>
      <w:pPr>
        <w:tabs>
          <w:tab w:val="num" w:pos="3600"/>
        </w:tabs>
        <w:ind w:left="3600" w:hanging="360"/>
      </w:pPr>
    </w:lvl>
    <w:lvl w:ilvl="5" w:tplc="F0A8214C" w:tentative="1">
      <w:start w:val="1"/>
      <w:numFmt w:val="decimal"/>
      <w:lvlText w:val="%6)"/>
      <w:lvlJc w:val="left"/>
      <w:pPr>
        <w:tabs>
          <w:tab w:val="num" w:pos="4320"/>
        </w:tabs>
        <w:ind w:left="4320" w:hanging="360"/>
      </w:pPr>
    </w:lvl>
    <w:lvl w:ilvl="6" w:tplc="A59E2832" w:tentative="1">
      <w:start w:val="1"/>
      <w:numFmt w:val="decimal"/>
      <w:lvlText w:val="%7)"/>
      <w:lvlJc w:val="left"/>
      <w:pPr>
        <w:tabs>
          <w:tab w:val="num" w:pos="5040"/>
        </w:tabs>
        <w:ind w:left="5040" w:hanging="360"/>
      </w:pPr>
    </w:lvl>
    <w:lvl w:ilvl="7" w:tplc="782EDD2C" w:tentative="1">
      <w:start w:val="1"/>
      <w:numFmt w:val="decimal"/>
      <w:lvlText w:val="%8)"/>
      <w:lvlJc w:val="left"/>
      <w:pPr>
        <w:tabs>
          <w:tab w:val="num" w:pos="5760"/>
        </w:tabs>
        <w:ind w:left="5760" w:hanging="360"/>
      </w:pPr>
    </w:lvl>
    <w:lvl w:ilvl="8" w:tplc="63F07D76" w:tentative="1">
      <w:start w:val="1"/>
      <w:numFmt w:val="decimal"/>
      <w:lvlText w:val="%9)"/>
      <w:lvlJc w:val="left"/>
      <w:pPr>
        <w:tabs>
          <w:tab w:val="num" w:pos="6480"/>
        </w:tabs>
        <w:ind w:left="6480" w:hanging="360"/>
      </w:pPr>
    </w:lvl>
  </w:abstractNum>
  <w:abstractNum w:abstractNumId="10" w15:restartNumberingAfterBreak="0">
    <w:nsid w:val="57040348"/>
    <w:multiLevelType w:val="hybridMultilevel"/>
    <w:tmpl w:val="0AE446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59A013E5"/>
    <w:multiLevelType w:val="hybridMultilevel"/>
    <w:tmpl w:val="B4A4AD5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6F5040"/>
    <w:multiLevelType w:val="multilevel"/>
    <w:tmpl w:val="AF108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2F4D6E"/>
    <w:multiLevelType w:val="hybridMultilevel"/>
    <w:tmpl w:val="797876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3"/>
  </w:num>
  <w:num w:numId="4">
    <w:abstractNumId w:val="6"/>
  </w:num>
  <w:num w:numId="5">
    <w:abstractNumId w:val="4"/>
  </w:num>
  <w:num w:numId="6">
    <w:abstractNumId w:val="2"/>
  </w:num>
  <w:num w:numId="7">
    <w:abstractNumId w:val="0"/>
  </w:num>
  <w:num w:numId="8">
    <w:abstractNumId w:val="9"/>
  </w:num>
  <w:num w:numId="9">
    <w:abstractNumId w:val="8"/>
  </w:num>
  <w:num w:numId="10">
    <w:abstractNumId w:val="12"/>
  </w:num>
  <w:num w:numId="11">
    <w:abstractNumId w:val="7"/>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5A4"/>
    <w:rsid w:val="00047C56"/>
    <w:rsid w:val="00076C48"/>
    <w:rsid w:val="00095AAB"/>
    <w:rsid w:val="000B36C6"/>
    <w:rsid w:val="000B766B"/>
    <w:rsid w:val="000E773A"/>
    <w:rsid w:val="001032E4"/>
    <w:rsid w:val="00156121"/>
    <w:rsid w:val="001725AE"/>
    <w:rsid w:val="00172EA6"/>
    <w:rsid w:val="001A2B1E"/>
    <w:rsid w:val="001A3C9D"/>
    <w:rsid w:val="001F6ECA"/>
    <w:rsid w:val="00205966"/>
    <w:rsid w:val="002231B8"/>
    <w:rsid w:val="00272D46"/>
    <w:rsid w:val="002902B8"/>
    <w:rsid w:val="0029627F"/>
    <w:rsid w:val="002D6DE5"/>
    <w:rsid w:val="00352CF5"/>
    <w:rsid w:val="0038356A"/>
    <w:rsid w:val="003D339D"/>
    <w:rsid w:val="004037EF"/>
    <w:rsid w:val="00437560"/>
    <w:rsid w:val="00451AAA"/>
    <w:rsid w:val="004805A4"/>
    <w:rsid w:val="004C638F"/>
    <w:rsid w:val="004D7BD2"/>
    <w:rsid w:val="004F5C04"/>
    <w:rsid w:val="004F7EFE"/>
    <w:rsid w:val="005008D5"/>
    <w:rsid w:val="00505080"/>
    <w:rsid w:val="00510EBB"/>
    <w:rsid w:val="00537431"/>
    <w:rsid w:val="00540E61"/>
    <w:rsid w:val="00541449"/>
    <w:rsid w:val="00545539"/>
    <w:rsid w:val="005925C7"/>
    <w:rsid w:val="00594097"/>
    <w:rsid w:val="005B0DD8"/>
    <w:rsid w:val="005E12C6"/>
    <w:rsid w:val="00637FFE"/>
    <w:rsid w:val="006C55D3"/>
    <w:rsid w:val="00714450"/>
    <w:rsid w:val="00746F5E"/>
    <w:rsid w:val="007A49EB"/>
    <w:rsid w:val="00832B36"/>
    <w:rsid w:val="00894D08"/>
    <w:rsid w:val="008B06FD"/>
    <w:rsid w:val="008C17BE"/>
    <w:rsid w:val="008D0638"/>
    <w:rsid w:val="008D5AD9"/>
    <w:rsid w:val="008E4275"/>
    <w:rsid w:val="008F4F40"/>
    <w:rsid w:val="00942C95"/>
    <w:rsid w:val="00957F65"/>
    <w:rsid w:val="009604A6"/>
    <w:rsid w:val="00963EDD"/>
    <w:rsid w:val="009928EE"/>
    <w:rsid w:val="00995266"/>
    <w:rsid w:val="00AA10C3"/>
    <w:rsid w:val="00AC5A4A"/>
    <w:rsid w:val="00B107D8"/>
    <w:rsid w:val="00B33577"/>
    <w:rsid w:val="00B73482"/>
    <w:rsid w:val="00B83EAC"/>
    <w:rsid w:val="00BF411F"/>
    <w:rsid w:val="00C01317"/>
    <w:rsid w:val="00C32A63"/>
    <w:rsid w:val="00C344B2"/>
    <w:rsid w:val="00C517B7"/>
    <w:rsid w:val="00CE66BC"/>
    <w:rsid w:val="00CF19A0"/>
    <w:rsid w:val="00D06965"/>
    <w:rsid w:val="00D16E7A"/>
    <w:rsid w:val="00D376FD"/>
    <w:rsid w:val="00D6625D"/>
    <w:rsid w:val="00D704D4"/>
    <w:rsid w:val="00D82123"/>
    <w:rsid w:val="00DB2018"/>
    <w:rsid w:val="00E24844"/>
    <w:rsid w:val="00E524FA"/>
    <w:rsid w:val="00E74AE4"/>
    <w:rsid w:val="00E766A4"/>
    <w:rsid w:val="00E90EF4"/>
    <w:rsid w:val="00ED58FB"/>
    <w:rsid w:val="00EF7911"/>
    <w:rsid w:val="00F03A46"/>
    <w:rsid w:val="00F45914"/>
    <w:rsid w:val="00F6174C"/>
    <w:rsid w:val="00F773FD"/>
    <w:rsid w:val="00FE0A7F"/>
    <w:rsid w:val="00FE14AF"/>
    <w:rsid w:val="00FF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5875A9-A413-4000-9DFE-DCB78C5F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65"/>
    <w:rPr>
      <w:sz w:val="24"/>
      <w:szCs w:val="24"/>
    </w:rPr>
  </w:style>
  <w:style w:type="paragraph" w:styleId="Heading1">
    <w:name w:val="heading 1"/>
    <w:basedOn w:val="Normal"/>
    <w:next w:val="Normal"/>
    <w:link w:val="Heading1Char"/>
    <w:qFormat/>
    <w:rsid w:val="00CF19A0"/>
    <w:pPr>
      <w:keepNext/>
      <w:outlineLvl w:val="0"/>
    </w:pPr>
    <w:rPr>
      <w:i/>
      <w:iCs/>
    </w:rPr>
  </w:style>
  <w:style w:type="paragraph" w:styleId="Heading2">
    <w:name w:val="heading 2"/>
    <w:basedOn w:val="Normal"/>
    <w:next w:val="Normal"/>
    <w:link w:val="Heading2Char"/>
    <w:semiHidden/>
    <w:unhideWhenUsed/>
    <w:qFormat/>
    <w:rsid w:val="00095A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6965"/>
    <w:pPr>
      <w:jc w:val="center"/>
    </w:pPr>
    <w:rPr>
      <w:b/>
      <w:bCs/>
    </w:rPr>
  </w:style>
  <w:style w:type="paragraph" w:styleId="BalloonText">
    <w:name w:val="Balloon Text"/>
    <w:basedOn w:val="Normal"/>
    <w:link w:val="BalloonTextChar"/>
    <w:rsid w:val="004805A4"/>
    <w:rPr>
      <w:rFonts w:ascii="Tahoma" w:hAnsi="Tahoma" w:cs="Tahoma"/>
      <w:sz w:val="16"/>
      <w:szCs w:val="16"/>
    </w:rPr>
  </w:style>
  <w:style w:type="character" w:customStyle="1" w:styleId="BalloonTextChar">
    <w:name w:val="Balloon Text Char"/>
    <w:link w:val="BalloonText"/>
    <w:rsid w:val="004805A4"/>
    <w:rPr>
      <w:rFonts w:ascii="Tahoma" w:hAnsi="Tahoma" w:cs="Tahoma"/>
      <w:sz w:val="16"/>
      <w:szCs w:val="16"/>
    </w:rPr>
  </w:style>
  <w:style w:type="paragraph" w:styleId="ListParagraph">
    <w:name w:val="List Paragraph"/>
    <w:basedOn w:val="Normal"/>
    <w:qFormat/>
    <w:rsid w:val="00ED58FB"/>
    <w:pPr>
      <w:spacing w:after="200" w:line="276" w:lineRule="auto"/>
      <w:ind w:left="720"/>
      <w:contextualSpacing/>
    </w:pPr>
    <w:rPr>
      <w:rFonts w:ascii="Calibri" w:hAnsi="Calibri"/>
      <w:sz w:val="22"/>
      <w:szCs w:val="22"/>
      <w:lang w:eastAsia="zh-CN"/>
    </w:rPr>
  </w:style>
  <w:style w:type="character" w:customStyle="1" w:styleId="Heading1Char">
    <w:name w:val="Heading 1 Char"/>
    <w:link w:val="Heading1"/>
    <w:rsid w:val="00CF19A0"/>
    <w:rPr>
      <w:i/>
      <w:iCs/>
      <w:sz w:val="24"/>
      <w:szCs w:val="24"/>
    </w:rPr>
  </w:style>
  <w:style w:type="paragraph" w:styleId="BodyText">
    <w:name w:val="Body Text"/>
    <w:basedOn w:val="Normal"/>
    <w:link w:val="BodyTextChar"/>
    <w:rsid w:val="00CF19A0"/>
    <w:rPr>
      <w:i/>
      <w:iCs/>
    </w:rPr>
  </w:style>
  <w:style w:type="character" w:customStyle="1" w:styleId="BodyTextChar">
    <w:name w:val="Body Text Char"/>
    <w:link w:val="BodyText"/>
    <w:rsid w:val="00CF19A0"/>
    <w:rPr>
      <w:i/>
      <w:iCs/>
      <w:sz w:val="24"/>
      <w:szCs w:val="24"/>
    </w:rPr>
  </w:style>
  <w:style w:type="character" w:customStyle="1" w:styleId="Heading2Char">
    <w:name w:val="Heading 2 Char"/>
    <w:link w:val="Heading2"/>
    <w:semiHidden/>
    <w:rsid w:val="00095AAB"/>
    <w:rPr>
      <w:rFonts w:ascii="Cambria" w:eastAsia="Times New Roman" w:hAnsi="Cambria" w:cs="Times New Roman"/>
      <w:b/>
      <w:bCs/>
      <w:i/>
      <w:iCs/>
      <w:sz w:val="28"/>
      <w:szCs w:val="28"/>
    </w:rPr>
  </w:style>
  <w:style w:type="paragraph" w:styleId="Footer">
    <w:name w:val="footer"/>
    <w:basedOn w:val="Normal"/>
    <w:link w:val="FooterChar"/>
    <w:rsid w:val="00095AAB"/>
    <w:pPr>
      <w:tabs>
        <w:tab w:val="center" w:pos="4320"/>
        <w:tab w:val="right" w:pos="8640"/>
      </w:tabs>
    </w:pPr>
  </w:style>
  <w:style w:type="character" w:customStyle="1" w:styleId="FooterChar">
    <w:name w:val="Footer Char"/>
    <w:link w:val="Footer"/>
    <w:rsid w:val="00095AAB"/>
    <w:rPr>
      <w:sz w:val="24"/>
      <w:szCs w:val="24"/>
    </w:rPr>
  </w:style>
  <w:style w:type="character" w:styleId="PageNumber">
    <w:name w:val="page number"/>
    <w:basedOn w:val="DefaultParagraphFont"/>
    <w:rsid w:val="00095AAB"/>
  </w:style>
  <w:style w:type="table" w:styleId="TableGrid">
    <w:name w:val="Table Grid"/>
    <w:basedOn w:val="TableNormal"/>
    <w:uiPriority w:val="59"/>
    <w:rsid w:val="00E524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0B766B"/>
    <w:pPr>
      <w:autoSpaceDE w:val="0"/>
      <w:autoSpaceDN w:val="0"/>
      <w:adjustRightInd w:val="0"/>
      <w:spacing w:line="241" w:lineRule="atLeast"/>
    </w:pPr>
    <w:rPr>
      <w:rFonts w:ascii="Avenir LT Std 65 Medium" w:eastAsia="Calibri" w:hAnsi="Avenir LT Std 65 Medium"/>
    </w:rPr>
  </w:style>
  <w:style w:type="character" w:customStyle="1" w:styleId="A3">
    <w:name w:val="A3"/>
    <w:uiPriority w:val="99"/>
    <w:rsid w:val="000B766B"/>
    <w:rPr>
      <w:rFonts w:cs="Avenir LT Std 65 Medium"/>
      <w:b/>
      <w:bCs/>
      <w:color w:val="000000"/>
      <w:sz w:val="28"/>
      <w:szCs w:val="28"/>
    </w:rPr>
  </w:style>
  <w:style w:type="paragraph" w:customStyle="1" w:styleId="Pa2">
    <w:name w:val="Pa2"/>
    <w:basedOn w:val="Normal"/>
    <w:next w:val="Normal"/>
    <w:uiPriority w:val="99"/>
    <w:rsid w:val="000B766B"/>
    <w:pPr>
      <w:autoSpaceDE w:val="0"/>
      <w:autoSpaceDN w:val="0"/>
      <w:adjustRightInd w:val="0"/>
      <w:spacing w:line="241" w:lineRule="atLeast"/>
    </w:pPr>
    <w:rPr>
      <w:rFonts w:ascii="Avenir LT Std 65 Medium" w:eastAsia="Calibri" w:hAnsi="Avenir LT Std 65 Medium"/>
    </w:rPr>
  </w:style>
  <w:style w:type="paragraph" w:customStyle="1" w:styleId="Pa3">
    <w:name w:val="Pa3"/>
    <w:basedOn w:val="Normal"/>
    <w:next w:val="Normal"/>
    <w:uiPriority w:val="99"/>
    <w:rsid w:val="000B766B"/>
    <w:pPr>
      <w:autoSpaceDE w:val="0"/>
      <w:autoSpaceDN w:val="0"/>
      <w:adjustRightInd w:val="0"/>
      <w:spacing w:line="241" w:lineRule="atLeast"/>
    </w:pPr>
    <w:rPr>
      <w:rFonts w:ascii="Avenir LT Std 65 Medium" w:eastAsia="Calibri" w:hAnsi="Avenir LT Std 65 Medium"/>
    </w:rPr>
  </w:style>
  <w:style w:type="paragraph" w:customStyle="1" w:styleId="Pa4">
    <w:name w:val="Pa4"/>
    <w:basedOn w:val="Normal"/>
    <w:next w:val="Normal"/>
    <w:uiPriority w:val="99"/>
    <w:rsid w:val="000B766B"/>
    <w:pPr>
      <w:autoSpaceDE w:val="0"/>
      <w:autoSpaceDN w:val="0"/>
      <w:adjustRightInd w:val="0"/>
      <w:spacing w:line="241" w:lineRule="atLeast"/>
    </w:pPr>
    <w:rPr>
      <w:rFonts w:ascii="Avenir LT Std 65 Medium" w:eastAsia="Calibri" w:hAnsi="Avenir LT Std 65 Medium"/>
    </w:rPr>
  </w:style>
  <w:style w:type="paragraph" w:styleId="BodyText2">
    <w:name w:val="Body Text 2"/>
    <w:basedOn w:val="Normal"/>
    <w:link w:val="BodyText2Char"/>
    <w:rsid w:val="002231B8"/>
    <w:pPr>
      <w:spacing w:after="120" w:line="480" w:lineRule="auto"/>
    </w:pPr>
  </w:style>
  <w:style w:type="character" w:customStyle="1" w:styleId="BodyText2Char">
    <w:name w:val="Body Text 2 Char"/>
    <w:link w:val="BodyText2"/>
    <w:rsid w:val="002231B8"/>
    <w:rPr>
      <w:sz w:val="24"/>
      <w:szCs w:val="24"/>
    </w:rPr>
  </w:style>
  <w:style w:type="character" w:customStyle="1" w:styleId="TitleChar">
    <w:name w:val="Title Char"/>
    <w:link w:val="Title"/>
    <w:rsid w:val="002231B8"/>
    <w:rPr>
      <w:b/>
      <w:bCs/>
      <w:sz w:val="24"/>
      <w:szCs w:val="24"/>
    </w:rPr>
  </w:style>
  <w:style w:type="character" w:styleId="Hyperlink">
    <w:name w:val="Hyperlink"/>
    <w:uiPriority w:val="99"/>
    <w:unhideWhenUsed/>
    <w:rsid w:val="005E12C6"/>
    <w:rPr>
      <w:color w:val="0000FF"/>
      <w:u w:val="single"/>
    </w:rPr>
  </w:style>
  <w:style w:type="character" w:styleId="FollowedHyperlink">
    <w:name w:val="FollowedHyperlink"/>
    <w:rsid w:val="005E12C6"/>
    <w:rPr>
      <w:color w:val="800080"/>
      <w:u w:val="single"/>
    </w:rPr>
  </w:style>
  <w:style w:type="table" w:customStyle="1" w:styleId="TableGrid5">
    <w:name w:val="Table Grid5"/>
    <w:basedOn w:val="TableNormal"/>
    <w:next w:val="TableGrid"/>
    <w:uiPriority w:val="59"/>
    <w:rsid w:val="007A49E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1296">
      <w:bodyDiv w:val="1"/>
      <w:marLeft w:val="0"/>
      <w:marRight w:val="0"/>
      <w:marTop w:val="0"/>
      <w:marBottom w:val="0"/>
      <w:divBdr>
        <w:top w:val="none" w:sz="0" w:space="0" w:color="auto"/>
        <w:left w:val="none" w:sz="0" w:space="0" w:color="auto"/>
        <w:bottom w:val="none" w:sz="0" w:space="0" w:color="auto"/>
        <w:right w:val="none" w:sz="0" w:space="0" w:color="auto"/>
      </w:divBdr>
      <w:divsChild>
        <w:div w:id="359816502">
          <w:marLeft w:val="0"/>
          <w:marRight w:val="0"/>
          <w:marTop w:val="0"/>
          <w:marBottom w:val="0"/>
          <w:divBdr>
            <w:top w:val="none" w:sz="0" w:space="0" w:color="auto"/>
            <w:left w:val="none" w:sz="0" w:space="0" w:color="auto"/>
            <w:bottom w:val="none" w:sz="0" w:space="0" w:color="auto"/>
            <w:right w:val="none" w:sz="0" w:space="0" w:color="auto"/>
          </w:divBdr>
        </w:div>
        <w:div w:id="2083289453">
          <w:marLeft w:val="0"/>
          <w:marRight w:val="0"/>
          <w:marTop w:val="0"/>
          <w:marBottom w:val="0"/>
          <w:divBdr>
            <w:top w:val="none" w:sz="0" w:space="0" w:color="auto"/>
            <w:left w:val="none" w:sz="0" w:space="0" w:color="auto"/>
            <w:bottom w:val="none" w:sz="0" w:space="0" w:color="auto"/>
            <w:right w:val="none" w:sz="0" w:space="0" w:color="auto"/>
          </w:divBdr>
        </w:div>
        <w:div w:id="1677922925">
          <w:marLeft w:val="0"/>
          <w:marRight w:val="0"/>
          <w:marTop w:val="0"/>
          <w:marBottom w:val="0"/>
          <w:divBdr>
            <w:top w:val="none" w:sz="0" w:space="0" w:color="auto"/>
            <w:left w:val="none" w:sz="0" w:space="0" w:color="auto"/>
            <w:bottom w:val="none" w:sz="0" w:space="0" w:color="auto"/>
            <w:right w:val="none" w:sz="0" w:space="0" w:color="auto"/>
          </w:divBdr>
        </w:div>
        <w:div w:id="1982227921">
          <w:marLeft w:val="0"/>
          <w:marRight w:val="0"/>
          <w:marTop w:val="0"/>
          <w:marBottom w:val="0"/>
          <w:divBdr>
            <w:top w:val="none" w:sz="0" w:space="0" w:color="auto"/>
            <w:left w:val="none" w:sz="0" w:space="0" w:color="auto"/>
            <w:bottom w:val="none" w:sz="0" w:space="0" w:color="auto"/>
            <w:right w:val="none" w:sz="0" w:space="0" w:color="auto"/>
          </w:divBdr>
        </w:div>
        <w:div w:id="941644789">
          <w:marLeft w:val="0"/>
          <w:marRight w:val="0"/>
          <w:marTop w:val="0"/>
          <w:marBottom w:val="0"/>
          <w:divBdr>
            <w:top w:val="none" w:sz="0" w:space="0" w:color="auto"/>
            <w:left w:val="none" w:sz="0" w:space="0" w:color="auto"/>
            <w:bottom w:val="none" w:sz="0" w:space="0" w:color="auto"/>
            <w:right w:val="none" w:sz="0" w:space="0" w:color="auto"/>
          </w:divBdr>
        </w:div>
        <w:div w:id="1938978467">
          <w:marLeft w:val="0"/>
          <w:marRight w:val="0"/>
          <w:marTop w:val="0"/>
          <w:marBottom w:val="0"/>
          <w:divBdr>
            <w:top w:val="none" w:sz="0" w:space="0" w:color="auto"/>
            <w:left w:val="none" w:sz="0" w:space="0" w:color="auto"/>
            <w:bottom w:val="none" w:sz="0" w:space="0" w:color="auto"/>
            <w:right w:val="none" w:sz="0" w:space="0" w:color="auto"/>
          </w:divBdr>
        </w:div>
      </w:divsChild>
    </w:div>
    <w:div w:id="662470190">
      <w:bodyDiv w:val="1"/>
      <w:marLeft w:val="0"/>
      <w:marRight w:val="0"/>
      <w:marTop w:val="0"/>
      <w:marBottom w:val="0"/>
      <w:divBdr>
        <w:top w:val="none" w:sz="0" w:space="0" w:color="auto"/>
        <w:left w:val="none" w:sz="0" w:space="0" w:color="auto"/>
        <w:bottom w:val="none" w:sz="0" w:space="0" w:color="auto"/>
        <w:right w:val="none" w:sz="0" w:space="0" w:color="auto"/>
      </w:divBdr>
      <w:divsChild>
        <w:div w:id="1131052473">
          <w:marLeft w:val="1656"/>
          <w:marRight w:val="0"/>
          <w:marTop w:val="74"/>
          <w:marBottom w:val="0"/>
          <w:divBdr>
            <w:top w:val="none" w:sz="0" w:space="0" w:color="auto"/>
            <w:left w:val="none" w:sz="0" w:space="0" w:color="auto"/>
            <w:bottom w:val="none" w:sz="0" w:space="0" w:color="auto"/>
            <w:right w:val="none" w:sz="0" w:space="0" w:color="auto"/>
          </w:divBdr>
        </w:div>
        <w:div w:id="1569463580">
          <w:marLeft w:val="1656"/>
          <w:marRight w:val="0"/>
          <w:marTop w:val="74"/>
          <w:marBottom w:val="0"/>
          <w:divBdr>
            <w:top w:val="none" w:sz="0" w:space="0" w:color="auto"/>
            <w:left w:val="none" w:sz="0" w:space="0" w:color="auto"/>
            <w:bottom w:val="none" w:sz="0" w:space="0" w:color="auto"/>
            <w:right w:val="none" w:sz="0" w:space="0" w:color="auto"/>
          </w:divBdr>
        </w:div>
        <w:div w:id="1036469238">
          <w:marLeft w:val="1656"/>
          <w:marRight w:val="0"/>
          <w:marTop w:val="74"/>
          <w:marBottom w:val="0"/>
          <w:divBdr>
            <w:top w:val="none" w:sz="0" w:space="0" w:color="auto"/>
            <w:left w:val="none" w:sz="0" w:space="0" w:color="auto"/>
            <w:bottom w:val="none" w:sz="0" w:space="0" w:color="auto"/>
            <w:right w:val="none" w:sz="0" w:space="0" w:color="auto"/>
          </w:divBdr>
        </w:div>
        <w:div w:id="1309357023">
          <w:marLeft w:val="1656"/>
          <w:marRight w:val="0"/>
          <w:marTop w:val="74"/>
          <w:marBottom w:val="0"/>
          <w:divBdr>
            <w:top w:val="none" w:sz="0" w:space="0" w:color="auto"/>
            <w:left w:val="none" w:sz="0" w:space="0" w:color="auto"/>
            <w:bottom w:val="none" w:sz="0" w:space="0" w:color="auto"/>
            <w:right w:val="none" w:sz="0" w:space="0" w:color="auto"/>
          </w:divBdr>
        </w:div>
        <w:div w:id="52706094">
          <w:marLeft w:val="1656"/>
          <w:marRight w:val="0"/>
          <w:marTop w:val="74"/>
          <w:marBottom w:val="0"/>
          <w:divBdr>
            <w:top w:val="none" w:sz="0" w:space="0" w:color="auto"/>
            <w:left w:val="none" w:sz="0" w:space="0" w:color="auto"/>
            <w:bottom w:val="none" w:sz="0" w:space="0" w:color="auto"/>
            <w:right w:val="none" w:sz="0" w:space="0" w:color="auto"/>
          </w:divBdr>
        </w:div>
        <w:div w:id="1629159747">
          <w:marLeft w:val="1656"/>
          <w:marRight w:val="0"/>
          <w:marTop w:val="74"/>
          <w:marBottom w:val="0"/>
          <w:divBdr>
            <w:top w:val="none" w:sz="0" w:space="0" w:color="auto"/>
            <w:left w:val="none" w:sz="0" w:space="0" w:color="auto"/>
            <w:bottom w:val="none" w:sz="0" w:space="0" w:color="auto"/>
            <w:right w:val="none" w:sz="0" w:space="0" w:color="auto"/>
          </w:divBdr>
        </w:div>
        <w:div w:id="2081054353">
          <w:marLeft w:val="1656"/>
          <w:marRight w:val="0"/>
          <w:marTop w:val="74"/>
          <w:marBottom w:val="0"/>
          <w:divBdr>
            <w:top w:val="none" w:sz="0" w:space="0" w:color="auto"/>
            <w:left w:val="none" w:sz="0" w:space="0" w:color="auto"/>
            <w:bottom w:val="none" w:sz="0" w:space="0" w:color="auto"/>
            <w:right w:val="none" w:sz="0" w:space="0" w:color="auto"/>
          </w:divBdr>
        </w:div>
        <w:div w:id="1957985266">
          <w:marLeft w:val="1656"/>
          <w:marRight w:val="0"/>
          <w:marTop w:val="74"/>
          <w:marBottom w:val="0"/>
          <w:divBdr>
            <w:top w:val="none" w:sz="0" w:space="0" w:color="auto"/>
            <w:left w:val="none" w:sz="0" w:space="0" w:color="auto"/>
            <w:bottom w:val="none" w:sz="0" w:space="0" w:color="auto"/>
            <w:right w:val="none" w:sz="0" w:space="0" w:color="auto"/>
          </w:divBdr>
        </w:div>
      </w:divsChild>
    </w:div>
    <w:div w:id="8335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nyassess.org/institutional-assessment-rubric.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32D3-4EF4-47CD-B7B1-EBF615F7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4440</TotalTime>
  <Pages>1</Pages>
  <Words>4349</Words>
  <Characters>24792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ANNUAL REPORT</vt:lpstr>
    </vt:vector>
  </TitlesOfParts>
  <Company>Plattsburgh State University</Company>
  <LinksUpToDate>false</LinksUpToDate>
  <CharactersWithSpaces>29083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Plattsburgh</dc:creator>
  <cp:lastModifiedBy>JoAnn Gleeson-Kreig</cp:lastModifiedBy>
  <cp:revision>18</cp:revision>
  <cp:lastPrinted>2016-05-06T14:03:00Z</cp:lastPrinted>
  <dcterms:created xsi:type="dcterms:W3CDTF">2016-05-06T13:36:00Z</dcterms:created>
  <dcterms:modified xsi:type="dcterms:W3CDTF">2016-05-11T21:07:00Z</dcterms:modified>
</cp:coreProperties>
</file>